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6EE9" w14:textId="491F59D9" w:rsidR="0025163F" w:rsidRDefault="0025163F" w:rsidP="0025163F">
      <w:pPr>
        <w:spacing w:line="288" w:lineRule="auto"/>
        <w:jc w:val="right"/>
        <w:rPr>
          <w:rFonts w:eastAsia="Times New Roman"/>
          <w:b/>
          <w:bCs/>
          <w:sz w:val="22"/>
          <w:szCs w:val="22"/>
          <w:u w:val="single"/>
          <w:lang w:eastAsia="ar-SA"/>
        </w:rPr>
      </w:pPr>
      <w:r>
        <w:rPr>
          <w:rFonts w:eastAsia="Times New Roman"/>
          <w:b/>
          <w:bCs/>
          <w:sz w:val="22"/>
          <w:szCs w:val="22"/>
          <w:u w:val="single"/>
          <w:lang w:eastAsia="ar-SA"/>
        </w:rPr>
        <w:t>Bilaga 4</w:t>
      </w:r>
    </w:p>
    <w:p w14:paraId="52C6C2F5" w14:textId="77777777" w:rsidR="0025163F" w:rsidRPr="0025163F" w:rsidRDefault="0025163F" w:rsidP="0025163F">
      <w:pPr>
        <w:spacing w:line="288" w:lineRule="auto"/>
        <w:jc w:val="right"/>
        <w:rPr>
          <w:rFonts w:eastAsia="Times New Roman"/>
          <w:b/>
          <w:bCs/>
          <w:sz w:val="22"/>
          <w:szCs w:val="22"/>
          <w:u w:val="single"/>
          <w:lang w:eastAsia="ar-SA"/>
        </w:rPr>
      </w:pPr>
    </w:p>
    <w:p w14:paraId="573FBE63" w14:textId="046E9D91" w:rsidR="0025163F" w:rsidRPr="00F333C1" w:rsidRDefault="0025163F" w:rsidP="0025163F">
      <w:pPr>
        <w:spacing w:line="288" w:lineRule="auto"/>
        <w:jc w:val="center"/>
        <w:rPr>
          <w:rFonts w:eastAsia="Times New Roman"/>
          <w:b/>
          <w:bCs/>
          <w:sz w:val="22"/>
          <w:szCs w:val="22"/>
          <w:lang w:eastAsia="ar-SA"/>
        </w:rPr>
      </w:pPr>
      <w:r w:rsidRPr="00F333C1">
        <w:rPr>
          <w:rFonts w:eastAsia="Times New Roman"/>
          <w:b/>
          <w:bCs/>
          <w:sz w:val="22"/>
          <w:szCs w:val="22"/>
          <w:lang w:eastAsia="ar-SA"/>
        </w:rPr>
        <w:t>Beslut om 14 000 000 teckningsoptioner</w:t>
      </w:r>
    </w:p>
    <w:p w14:paraId="7F8F8F19" w14:textId="77777777" w:rsidR="0025163F" w:rsidRDefault="0025163F" w:rsidP="0025163F">
      <w:pPr>
        <w:spacing w:line="288" w:lineRule="auto"/>
        <w:rPr>
          <w:rFonts w:eastAsia="Times New Roman"/>
          <w:sz w:val="20"/>
          <w:lang w:eastAsia="ar-SA"/>
        </w:rPr>
      </w:pPr>
    </w:p>
    <w:p w14:paraId="4377C264" w14:textId="58243199" w:rsidR="0025163F" w:rsidRPr="00F333C1" w:rsidRDefault="0025163F" w:rsidP="0025163F">
      <w:pPr>
        <w:spacing w:line="288" w:lineRule="auto"/>
        <w:rPr>
          <w:rFonts w:eastAsia="Times New Roman"/>
          <w:sz w:val="20"/>
          <w:lang w:eastAsia="ar-SA"/>
        </w:rPr>
      </w:pPr>
      <w:r w:rsidRPr="00F333C1">
        <w:rPr>
          <w:rFonts w:eastAsia="Times New Roman"/>
          <w:sz w:val="20"/>
          <w:lang w:eastAsia="ar-SA"/>
        </w:rPr>
        <w:t>Styrelsen föreslår att stämman beslutar om emission av teckningsoptioner enligt följande och att stämman beslutar om godkännande av överlåtelse av teckningsoptioner m.m.</w:t>
      </w:r>
    </w:p>
    <w:p w14:paraId="64695BC7" w14:textId="77777777" w:rsidR="0025163F" w:rsidRPr="00F333C1" w:rsidRDefault="0025163F" w:rsidP="0025163F">
      <w:pPr>
        <w:spacing w:line="288" w:lineRule="auto"/>
        <w:rPr>
          <w:rFonts w:eastAsia="Times New Roman"/>
          <w:sz w:val="20"/>
          <w:lang w:eastAsia="ar-SA"/>
        </w:rPr>
      </w:pPr>
    </w:p>
    <w:p w14:paraId="38F2DF40" w14:textId="77777777" w:rsidR="0025163F" w:rsidRPr="00D40D7A" w:rsidRDefault="0025163F" w:rsidP="0025163F">
      <w:pPr>
        <w:pStyle w:val="Liststycke"/>
        <w:numPr>
          <w:ilvl w:val="0"/>
          <w:numId w:val="1"/>
        </w:numPr>
        <w:spacing w:line="288" w:lineRule="auto"/>
        <w:ind w:left="0" w:firstLine="0"/>
        <w:rPr>
          <w:rFonts w:ascii="Times New Roman" w:eastAsia="Times New Roman" w:hAnsi="Times New Roman"/>
          <w:lang w:eastAsia="ar-SA"/>
        </w:rPr>
      </w:pPr>
      <w:r w:rsidRPr="00D40D7A">
        <w:rPr>
          <w:rFonts w:ascii="Times New Roman" w:eastAsia="Times New Roman" w:hAnsi="Times New Roman"/>
          <w:lang w:eastAsia="ar-SA"/>
        </w:rPr>
        <w:t>Emission av teckningsoptioner</w:t>
      </w:r>
    </w:p>
    <w:p w14:paraId="586B5AB0" w14:textId="77777777" w:rsidR="0025163F" w:rsidRPr="00F333C1" w:rsidRDefault="0025163F" w:rsidP="609C5BB4">
      <w:pPr>
        <w:spacing w:line="288" w:lineRule="auto"/>
        <w:rPr>
          <w:rFonts w:eastAsia="Times New Roman"/>
          <w:sz w:val="20"/>
          <w:lang w:eastAsia="ar-SA"/>
        </w:rPr>
      </w:pPr>
      <w:r w:rsidRPr="609C5BB4">
        <w:rPr>
          <w:rFonts w:eastAsia="Times New Roman"/>
          <w:sz w:val="20"/>
          <w:lang w:eastAsia="ar-SA"/>
        </w:rPr>
        <w:t>Styrelsen för Sustainable Energy Solutions Sweden Holding AB, org. Nr. 556530-5868, (”</w:t>
      </w:r>
      <w:r w:rsidRPr="609C5BB4">
        <w:rPr>
          <w:rFonts w:eastAsia="Times New Roman"/>
          <w:b/>
          <w:bCs/>
          <w:sz w:val="20"/>
          <w:lang w:eastAsia="ar-SA"/>
        </w:rPr>
        <w:t>Bolaget</w:t>
      </w:r>
      <w:r w:rsidRPr="609C5BB4">
        <w:rPr>
          <w:rFonts w:eastAsia="Times New Roman"/>
          <w:sz w:val="20"/>
          <w:lang w:eastAsia="ar-SA"/>
        </w:rPr>
        <w:t>” eller ”</w:t>
      </w:r>
      <w:r w:rsidRPr="609C5BB4">
        <w:rPr>
          <w:rFonts w:eastAsia="Times New Roman"/>
          <w:b/>
          <w:bCs/>
          <w:sz w:val="20"/>
          <w:lang w:eastAsia="ar-SA"/>
        </w:rPr>
        <w:t>SUST</w:t>
      </w:r>
      <w:r w:rsidRPr="609C5BB4">
        <w:rPr>
          <w:rFonts w:eastAsia="Times New Roman"/>
          <w:sz w:val="20"/>
          <w:lang w:eastAsia="ar-SA"/>
        </w:rPr>
        <w:t>”) föreslår att stämman beslutar om en riktad emission av högst 14 000 000 teckningsoptioner avseende stamaktier (”</w:t>
      </w:r>
      <w:r w:rsidRPr="609C5BB4">
        <w:rPr>
          <w:rFonts w:eastAsia="Times New Roman"/>
          <w:b/>
          <w:bCs/>
          <w:sz w:val="20"/>
          <w:lang w:eastAsia="ar-SA"/>
        </w:rPr>
        <w:t>Teckningsoptionerna</w:t>
      </w:r>
      <w:r w:rsidRPr="609C5BB4">
        <w:rPr>
          <w:rFonts w:eastAsia="Times New Roman"/>
          <w:sz w:val="20"/>
          <w:lang w:eastAsia="ar-SA"/>
        </w:rPr>
        <w:t>”), innebärande en ökning av aktiekapitalet vid fullt utnyttjade med högst 1 394 749,34 kronor. För beslutet ska i övrigt följande villkor gälla.</w:t>
      </w:r>
    </w:p>
    <w:p w14:paraId="2982F3DF" w14:textId="77777777" w:rsidR="0025163F" w:rsidRPr="00F333C1" w:rsidRDefault="0025163F" w:rsidP="0025163F">
      <w:pPr>
        <w:spacing w:line="288" w:lineRule="auto"/>
        <w:rPr>
          <w:rFonts w:eastAsia="Times New Roman"/>
          <w:sz w:val="20"/>
          <w:lang w:eastAsia="ar-SA"/>
        </w:rPr>
      </w:pPr>
    </w:p>
    <w:p w14:paraId="1FD27500" w14:textId="77777777" w:rsidR="0025163F" w:rsidRPr="00F333C1" w:rsidRDefault="0025163F" w:rsidP="0025163F">
      <w:pPr>
        <w:pStyle w:val="Liststycke"/>
        <w:numPr>
          <w:ilvl w:val="0"/>
          <w:numId w:val="2"/>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 xml:space="preserve">Rätt att teckna Teckningsoptionerna ska, med avvikelse från aktieägarnas företrädesrätt, tillfalla Bolagets helägda dotterbolag som av Bolaget bedöms lämpligt för ändamålet. Dotterbolaget ska </w:t>
      </w:r>
      <w:proofErr w:type="spellStart"/>
      <w:r w:rsidRPr="00F333C1">
        <w:rPr>
          <w:rFonts w:ascii="Times New Roman" w:eastAsia="Times New Roman" w:hAnsi="Times New Roman"/>
          <w:sz w:val="20"/>
          <w:lang w:eastAsia="ar-SA"/>
        </w:rPr>
        <w:t>vidareöverlåta</w:t>
      </w:r>
      <w:proofErr w:type="spellEnd"/>
      <w:r w:rsidRPr="00F333C1">
        <w:rPr>
          <w:rFonts w:ascii="Times New Roman" w:eastAsia="Times New Roman" w:hAnsi="Times New Roman"/>
          <w:sz w:val="20"/>
          <w:lang w:eastAsia="ar-SA"/>
        </w:rPr>
        <w:t xml:space="preserve"> teckningsoptioner till anställda och styrelseledamöter enligt punkt B nedan.</w:t>
      </w:r>
    </w:p>
    <w:p w14:paraId="67DF434F" w14:textId="77777777" w:rsidR="0025163F" w:rsidRPr="00F333C1" w:rsidRDefault="0025163F" w:rsidP="0025163F">
      <w:pPr>
        <w:pStyle w:val="Liststycke"/>
        <w:numPr>
          <w:ilvl w:val="0"/>
          <w:numId w:val="2"/>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Överteckning kan inte ske.</w:t>
      </w:r>
    </w:p>
    <w:p w14:paraId="7B262462" w14:textId="77777777" w:rsidR="0025163F" w:rsidRPr="00F333C1" w:rsidRDefault="0025163F" w:rsidP="0025163F">
      <w:pPr>
        <w:pStyle w:val="Liststycke"/>
        <w:numPr>
          <w:ilvl w:val="0"/>
          <w:numId w:val="2"/>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Skälet till avvikelsen från aktieägarnas företrädesrätt är att Teckningsoptionerna ingår i ett incitamentsprogram för anställda och styrelsen. Styrelsen anser att Bolaget bör främja Bolagets långsiktiga finansiella intressen genom att uppmuntra till ett ägarintresse i Bolaget av nyckelpersoner.</w:t>
      </w:r>
    </w:p>
    <w:p w14:paraId="014EB905" w14:textId="77777777" w:rsidR="0025163F" w:rsidRPr="00F333C1" w:rsidRDefault="0025163F" w:rsidP="0025163F">
      <w:pPr>
        <w:pStyle w:val="Liststycke"/>
        <w:numPr>
          <w:ilvl w:val="0"/>
          <w:numId w:val="2"/>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Teckningsoptionerna emitteras vederlagsfritt till Dotterbolaget.</w:t>
      </w:r>
    </w:p>
    <w:p w14:paraId="441C9A35" w14:textId="2467193A" w:rsidR="0025163F" w:rsidRPr="00F333C1" w:rsidRDefault="0025163F" w:rsidP="0025163F">
      <w:pPr>
        <w:pStyle w:val="Liststycke"/>
        <w:numPr>
          <w:ilvl w:val="0"/>
          <w:numId w:val="2"/>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 xml:space="preserve">Teckning av Teckningsoptionerna ska ske senast den </w:t>
      </w:r>
      <w:r w:rsidR="00D560B5">
        <w:rPr>
          <w:rFonts w:ascii="Times New Roman" w:eastAsia="Times New Roman" w:hAnsi="Times New Roman"/>
          <w:sz w:val="20"/>
          <w:lang w:eastAsia="ar-SA"/>
        </w:rPr>
        <w:t>15</w:t>
      </w:r>
      <w:r w:rsidRPr="00F333C1">
        <w:rPr>
          <w:rFonts w:ascii="Times New Roman" w:eastAsia="Times New Roman" w:hAnsi="Times New Roman"/>
          <w:sz w:val="20"/>
          <w:lang w:eastAsia="ar-SA"/>
        </w:rPr>
        <w:t xml:space="preserve"> </w:t>
      </w:r>
      <w:r w:rsidR="00CF62F6">
        <w:rPr>
          <w:rFonts w:ascii="Times New Roman" w:eastAsia="Times New Roman" w:hAnsi="Times New Roman"/>
          <w:sz w:val="20"/>
          <w:lang w:eastAsia="ar-SA"/>
        </w:rPr>
        <w:t>november</w:t>
      </w:r>
      <w:r w:rsidRPr="00F333C1">
        <w:rPr>
          <w:rFonts w:ascii="Times New Roman" w:eastAsia="Times New Roman" w:hAnsi="Times New Roman"/>
          <w:sz w:val="20"/>
          <w:lang w:eastAsia="ar-SA"/>
        </w:rPr>
        <w:t xml:space="preserve"> 2023. </w:t>
      </w:r>
    </w:p>
    <w:p w14:paraId="1854AF3C" w14:textId="2E3204C6" w:rsidR="0025163F" w:rsidRPr="00F333C1" w:rsidRDefault="0025163F" w:rsidP="0025163F">
      <w:pPr>
        <w:pStyle w:val="Liststycke"/>
        <w:numPr>
          <w:ilvl w:val="0"/>
          <w:numId w:val="2"/>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Nyteckning av aktier med stöd av Teckningsoptionerna kan ske under perioden från och med den 15 maj 2025 och till och med den 15 juni 2025. Bolagets styrelse har rätt att under nämnda teckningstid sammanställa, tilldela och registrera tecknade aktier veckovis, och har rätt att göra det vid flera tillfällen.</w:t>
      </w:r>
    </w:p>
    <w:p w14:paraId="03D356C9" w14:textId="77777777" w:rsidR="0025163F" w:rsidRPr="00F333C1" w:rsidRDefault="0025163F" w:rsidP="0025163F">
      <w:pPr>
        <w:pStyle w:val="Liststycke"/>
        <w:numPr>
          <w:ilvl w:val="0"/>
          <w:numId w:val="2"/>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Varje teckningsoption ska medföra en rätt att teckna en (1) ny aktie i Bolaget till en teckningskurs motsvarande 0,52 kronor.</w:t>
      </w:r>
    </w:p>
    <w:p w14:paraId="5DB50328" w14:textId="77777777" w:rsidR="0025163F" w:rsidRPr="00F333C1" w:rsidRDefault="0025163F" w:rsidP="0025163F">
      <w:pPr>
        <w:pStyle w:val="Liststycke"/>
        <w:numPr>
          <w:ilvl w:val="0"/>
          <w:numId w:val="2"/>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Skillnaden mellan teckningskursen 0,52 kronor per aktie och kvotvärdet skall fördelas till fri överkursfond.</w:t>
      </w:r>
    </w:p>
    <w:p w14:paraId="044700D5" w14:textId="77777777" w:rsidR="0025163F" w:rsidRPr="00F333C1" w:rsidRDefault="0025163F" w:rsidP="0025163F">
      <w:pPr>
        <w:pStyle w:val="Liststycke"/>
        <w:numPr>
          <w:ilvl w:val="0"/>
          <w:numId w:val="2"/>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De nya aktierna ger rätt till utdelning första gången på den avstämningsdag för utdelning som infaller närmast efter det att teckning verkställts.</w:t>
      </w:r>
    </w:p>
    <w:p w14:paraId="32F7A30D" w14:textId="77777777" w:rsidR="0025163F" w:rsidRDefault="0025163F" w:rsidP="0025163F">
      <w:pPr>
        <w:pStyle w:val="Liststycke"/>
        <w:numPr>
          <w:ilvl w:val="0"/>
          <w:numId w:val="2"/>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Teckningsoptioner som innehas av Dotterbolaget och som inte överlåtits enligt punkt B får antingen på nytt avyttras till medarbetare inom Bolaget eller dess dotterbolag eller makuleras av Bolaget efter beslut av styrelsen för Bolaget med samtycke av styrelsen för Dotterbolaget. Makulering ska anmälas till Bolagsverket för registrering.</w:t>
      </w:r>
    </w:p>
    <w:p w14:paraId="3450F93C" w14:textId="77777777" w:rsidR="0025163F" w:rsidRPr="00D40D7A" w:rsidRDefault="0025163F" w:rsidP="0025163F">
      <w:pPr>
        <w:spacing w:line="288" w:lineRule="auto"/>
        <w:rPr>
          <w:rFonts w:eastAsia="Times New Roman"/>
          <w:sz w:val="20"/>
          <w:lang w:eastAsia="ar-SA"/>
        </w:rPr>
      </w:pPr>
    </w:p>
    <w:p w14:paraId="21763928" w14:textId="77777777" w:rsidR="0025163F" w:rsidRPr="00D40D7A" w:rsidRDefault="0025163F" w:rsidP="0025163F">
      <w:pPr>
        <w:pStyle w:val="Liststycke"/>
        <w:numPr>
          <w:ilvl w:val="0"/>
          <w:numId w:val="1"/>
        </w:numPr>
        <w:spacing w:line="288" w:lineRule="auto"/>
        <w:ind w:left="0" w:firstLine="0"/>
        <w:rPr>
          <w:rFonts w:ascii="Times New Roman" w:eastAsia="Times New Roman" w:hAnsi="Times New Roman"/>
          <w:lang w:eastAsia="ar-SA"/>
        </w:rPr>
      </w:pPr>
      <w:r w:rsidRPr="00D40D7A">
        <w:rPr>
          <w:rFonts w:ascii="Times New Roman" w:eastAsia="Times New Roman" w:hAnsi="Times New Roman"/>
          <w:lang w:eastAsia="ar-SA"/>
        </w:rPr>
        <w:t>Godkännande av överlåtelse av teckningsoptioner</w:t>
      </w:r>
    </w:p>
    <w:p w14:paraId="4F7B7C83" w14:textId="77777777" w:rsidR="0025163F" w:rsidRPr="00F333C1" w:rsidRDefault="0025163F" w:rsidP="0025163F">
      <w:pPr>
        <w:pStyle w:val="Liststycke"/>
        <w:numPr>
          <w:ilvl w:val="0"/>
          <w:numId w:val="3"/>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Förvärvsberättigade</w:t>
      </w:r>
    </w:p>
    <w:p w14:paraId="4F648448" w14:textId="77777777" w:rsidR="0025163F" w:rsidRPr="00F333C1" w:rsidRDefault="0025163F" w:rsidP="0025163F">
      <w:pPr>
        <w:spacing w:line="288" w:lineRule="auto"/>
        <w:ind w:left="360"/>
        <w:rPr>
          <w:rFonts w:eastAsia="Times New Roman"/>
          <w:sz w:val="20"/>
          <w:lang w:eastAsia="ar-SA"/>
        </w:rPr>
      </w:pPr>
      <w:r w:rsidRPr="00F333C1">
        <w:rPr>
          <w:rFonts w:eastAsia="Times New Roman"/>
          <w:sz w:val="20"/>
          <w:lang w:eastAsia="ar-SA"/>
        </w:rPr>
        <w:t>Rätt att förvärva teckningsoptioner från Dotterbolaget ska tillkomma ledande befattningshavare i SUST-koncernen och styrelseledamöter i moderbolaget, med maximalt 1 000 000 teckningsoptioner per person. Rätt att förvärva teckningsoptioner från Dotterbolaget ska endast tillkomma de personer som vid tidpunkten för tilldelning ej sagt upp sig eller blivit uppsagda.</w:t>
      </w:r>
    </w:p>
    <w:p w14:paraId="5E339E10" w14:textId="77777777" w:rsidR="0025163F" w:rsidRPr="00F333C1" w:rsidRDefault="0025163F" w:rsidP="0025163F">
      <w:pPr>
        <w:spacing w:line="288" w:lineRule="auto"/>
        <w:rPr>
          <w:rFonts w:eastAsia="Times New Roman"/>
          <w:sz w:val="20"/>
          <w:lang w:eastAsia="ar-SA"/>
        </w:rPr>
      </w:pPr>
    </w:p>
    <w:p w14:paraId="7D43B8D4" w14:textId="77777777" w:rsidR="0025163F" w:rsidRPr="00F333C1" w:rsidRDefault="0025163F" w:rsidP="0025163F">
      <w:pPr>
        <w:spacing w:line="288" w:lineRule="auto"/>
        <w:ind w:left="360"/>
        <w:rPr>
          <w:rFonts w:eastAsia="Times New Roman"/>
          <w:sz w:val="20"/>
          <w:lang w:eastAsia="ar-SA"/>
        </w:rPr>
      </w:pPr>
      <w:r w:rsidRPr="00F333C1">
        <w:rPr>
          <w:rFonts w:eastAsia="Times New Roman"/>
          <w:sz w:val="20"/>
          <w:lang w:eastAsia="ar-SA"/>
        </w:rPr>
        <w:t>Teckningsoptioner ska även kunna erbjudas till kommande nya medarbetare och styrelseledamöter i det fall Dotterbolaget har osålda teckningsoptioner. För sådana förvärv ska villkoren vara desamma eller motsvarande vad som anges i detta beslut. Detta innebär bland annat att förvärv ska ske till det då aktuella marknadsvärdet.</w:t>
      </w:r>
    </w:p>
    <w:p w14:paraId="2A16A83C" w14:textId="77777777" w:rsidR="0025163F" w:rsidRPr="00F333C1" w:rsidRDefault="0025163F" w:rsidP="0025163F">
      <w:pPr>
        <w:spacing w:line="288" w:lineRule="auto"/>
        <w:rPr>
          <w:rFonts w:eastAsia="Times New Roman"/>
          <w:sz w:val="20"/>
          <w:lang w:eastAsia="ar-SA"/>
        </w:rPr>
      </w:pPr>
    </w:p>
    <w:p w14:paraId="4240CC28" w14:textId="77777777" w:rsidR="0025163F" w:rsidRPr="00F333C1" w:rsidRDefault="0025163F" w:rsidP="0025163F">
      <w:pPr>
        <w:spacing w:line="288" w:lineRule="auto"/>
        <w:ind w:left="360"/>
        <w:rPr>
          <w:rFonts w:eastAsia="Times New Roman"/>
          <w:sz w:val="20"/>
          <w:lang w:eastAsia="ar-SA"/>
        </w:rPr>
      </w:pPr>
      <w:r w:rsidRPr="00F333C1">
        <w:rPr>
          <w:rFonts w:eastAsia="Times New Roman"/>
          <w:sz w:val="20"/>
          <w:lang w:eastAsia="ar-SA"/>
        </w:rPr>
        <w:t>Tilldelning förutsätter, dels att förvärv av teckningsoptioner lagligen kan ske, dels att det enligt styrelsens bedömning kan ske till rimliga administrativa och ekonomiska insatser.</w:t>
      </w:r>
    </w:p>
    <w:p w14:paraId="4AE4E383" w14:textId="77777777" w:rsidR="0025163F" w:rsidRPr="00F333C1" w:rsidRDefault="0025163F" w:rsidP="0025163F">
      <w:pPr>
        <w:spacing w:line="288" w:lineRule="auto"/>
        <w:rPr>
          <w:rFonts w:eastAsia="Times New Roman"/>
          <w:sz w:val="20"/>
          <w:lang w:eastAsia="ar-SA"/>
        </w:rPr>
      </w:pPr>
    </w:p>
    <w:p w14:paraId="49F8EF48" w14:textId="77777777" w:rsidR="0025163F" w:rsidRPr="00F333C1" w:rsidRDefault="0025163F" w:rsidP="0025163F">
      <w:pPr>
        <w:pStyle w:val="Liststycke"/>
        <w:numPr>
          <w:ilvl w:val="0"/>
          <w:numId w:val="3"/>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Försäljningsperiod</w:t>
      </w:r>
    </w:p>
    <w:p w14:paraId="6E007D10" w14:textId="7FC6046F" w:rsidR="0025163F" w:rsidRPr="00F333C1" w:rsidRDefault="0025163F" w:rsidP="0025163F">
      <w:pPr>
        <w:spacing w:line="288" w:lineRule="auto"/>
        <w:ind w:left="360"/>
        <w:rPr>
          <w:rFonts w:eastAsia="Times New Roman"/>
          <w:sz w:val="20"/>
          <w:lang w:eastAsia="ar-SA"/>
        </w:rPr>
      </w:pPr>
      <w:r w:rsidRPr="00F333C1">
        <w:rPr>
          <w:rFonts w:eastAsia="Times New Roman"/>
          <w:sz w:val="20"/>
          <w:lang w:eastAsia="ar-SA"/>
        </w:rPr>
        <w:t xml:space="preserve">Teckningsoptionerna ska överlåtas till förvärvsberättigade i SUST-koncernen. Avsikten är att huvuddelen av Teckningsoptionerna ska överlåtas under perioden 1 juni 2022 till och med 30 september 2022. Det ska dock finnas en flexibilitet som möjliggör att osålda teckningsoptioner överlåts till framtida medarbetare, dock senast den 15 </w:t>
      </w:r>
      <w:r w:rsidR="00D560B5">
        <w:rPr>
          <w:rFonts w:eastAsia="Times New Roman"/>
          <w:sz w:val="20"/>
          <w:lang w:eastAsia="ar-SA"/>
        </w:rPr>
        <w:t>november</w:t>
      </w:r>
      <w:r w:rsidRPr="00F333C1">
        <w:rPr>
          <w:rFonts w:eastAsia="Times New Roman"/>
          <w:sz w:val="20"/>
          <w:lang w:eastAsia="ar-SA"/>
        </w:rPr>
        <w:t xml:space="preserve"> 2023, varvid anmälan om förvärv av teckningsoptioner ska ske senast den 3</w:t>
      </w:r>
      <w:r w:rsidR="006313E2">
        <w:rPr>
          <w:rFonts w:eastAsia="Times New Roman"/>
          <w:sz w:val="20"/>
          <w:lang w:eastAsia="ar-SA"/>
        </w:rPr>
        <w:t>0</w:t>
      </w:r>
      <w:r w:rsidRPr="00F333C1">
        <w:rPr>
          <w:rFonts w:eastAsia="Times New Roman"/>
          <w:sz w:val="20"/>
          <w:lang w:eastAsia="ar-SA"/>
        </w:rPr>
        <w:t xml:space="preserve"> </w:t>
      </w:r>
      <w:r w:rsidR="00763291">
        <w:rPr>
          <w:rFonts w:eastAsia="Times New Roman"/>
          <w:sz w:val="20"/>
          <w:lang w:eastAsia="ar-SA"/>
        </w:rPr>
        <w:t>o</w:t>
      </w:r>
      <w:r w:rsidR="006313E2">
        <w:rPr>
          <w:rFonts w:eastAsia="Times New Roman"/>
          <w:sz w:val="20"/>
          <w:lang w:eastAsia="ar-SA"/>
        </w:rPr>
        <w:t>k</w:t>
      </w:r>
      <w:r w:rsidR="00763291">
        <w:rPr>
          <w:rFonts w:eastAsia="Times New Roman"/>
          <w:sz w:val="20"/>
          <w:lang w:eastAsia="ar-SA"/>
        </w:rPr>
        <w:t>tober</w:t>
      </w:r>
      <w:r w:rsidRPr="00F333C1">
        <w:rPr>
          <w:rFonts w:eastAsia="Times New Roman"/>
          <w:sz w:val="20"/>
          <w:lang w:eastAsia="ar-SA"/>
        </w:rPr>
        <w:t xml:space="preserve"> 2023.</w:t>
      </w:r>
    </w:p>
    <w:p w14:paraId="23CABBD6" w14:textId="77777777" w:rsidR="0025163F" w:rsidRPr="00F333C1" w:rsidRDefault="0025163F" w:rsidP="0025163F">
      <w:pPr>
        <w:spacing w:line="288" w:lineRule="auto"/>
        <w:rPr>
          <w:rFonts w:eastAsia="Times New Roman"/>
          <w:sz w:val="20"/>
          <w:lang w:eastAsia="ar-SA"/>
        </w:rPr>
      </w:pPr>
    </w:p>
    <w:p w14:paraId="3394BF4F" w14:textId="77777777" w:rsidR="0025163F" w:rsidRPr="00F333C1" w:rsidRDefault="0025163F" w:rsidP="0025163F">
      <w:pPr>
        <w:pStyle w:val="Liststycke"/>
        <w:numPr>
          <w:ilvl w:val="0"/>
          <w:numId w:val="3"/>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Pris och betalning</w:t>
      </w:r>
    </w:p>
    <w:p w14:paraId="6C7C06DF" w14:textId="77777777" w:rsidR="0025163F" w:rsidRPr="00F333C1" w:rsidRDefault="0025163F" w:rsidP="0025163F">
      <w:pPr>
        <w:spacing w:line="288" w:lineRule="auto"/>
        <w:ind w:left="360"/>
        <w:rPr>
          <w:rFonts w:eastAsia="Times New Roman"/>
          <w:sz w:val="20"/>
          <w:lang w:eastAsia="ar-SA"/>
        </w:rPr>
      </w:pPr>
      <w:r w:rsidRPr="00F333C1">
        <w:rPr>
          <w:rFonts w:eastAsia="Times New Roman"/>
          <w:sz w:val="20"/>
          <w:lang w:eastAsia="ar-SA"/>
        </w:rPr>
        <w:t>Teckningsoptionerna ska överlåtas på marknadsmässiga villkor till ett pris (premie) som fastställs utifrån ett beräknat marknadsvärde för Teckningsoptionerna med tillämpning av en allmänt vedertagen värderingsmodell (Black &amp; Scholes). För eventuella förvärv som sker av tillkommande medarbetare ska nytt marknadspris fastställas på motsvarande sätt. Värdet har preliminärt beräknats till 0,0233 kronor per teckningsoption baserat på en aktiekurs om 0,30 kronor och en teckningskurs per aktie om 0,52 kronor.</w:t>
      </w:r>
    </w:p>
    <w:p w14:paraId="6D209CA9" w14:textId="77777777" w:rsidR="0025163F" w:rsidRPr="00F333C1" w:rsidRDefault="0025163F" w:rsidP="0025163F">
      <w:pPr>
        <w:spacing w:line="288" w:lineRule="auto"/>
        <w:rPr>
          <w:rFonts w:eastAsia="Times New Roman"/>
          <w:sz w:val="20"/>
          <w:lang w:eastAsia="ar-SA"/>
        </w:rPr>
      </w:pPr>
    </w:p>
    <w:p w14:paraId="1726DEC8" w14:textId="77777777" w:rsidR="0025163F" w:rsidRPr="00D40D7A" w:rsidRDefault="0025163F" w:rsidP="0025163F">
      <w:pPr>
        <w:pStyle w:val="Liststycke"/>
        <w:numPr>
          <w:ilvl w:val="0"/>
          <w:numId w:val="1"/>
        </w:numPr>
        <w:spacing w:line="288" w:lineRule="auto"/>
        <w:ind w:left="0" w:firstLine="0"/>
        <w:rPr>
          <w:rFonts w:ascii="Times New Roman" w:eastAsia="Times New Roman" w:hAnsi="Times New Roman"/>
          <w:lang w:eastAsia="ar-SA"/>
        </w:rPr>
      </w:pPr>
      <w:r w:rsidRPr="00D40D7A">
        <w:rPr>
          <w:rFonts w:ascii="Times New Roman" w:eastAsia="Times New Roman" w:hAnsi="Times New Roman"/>
          <w:lang w:eastAsia="ar-SA"/>
        </w:rPr>
        <w:t>Närmare information om teckningsoptionsprogrammet</w:t>
      </w:r>
    </w:p>
    <w:p w14:paraId="493D5AF9" w14:textId="77777777" w:rsidR="0025163F" w:rsidRPr="00F333C1" w:rsidRDefault="0025163F" w:rsidP="0025163F">
      <w:pPr>
        <w:pStyle w:val="Liststycke"/>
        <w:numPr>
          <w:ilvl w:val="0"/>
          <w:numId w:val="4"/>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Utspädning</w:t>
      </w:r>
    </w:p>
    <w:p w14:paraId="51D7E4C3" w14:textId="77777777" w:rsidR="0025163F" w:rsidRPr="00F333C1" w:rsidRDefault="0025163F" w:rsidP="0025163F">
      <w:pPr>
        <w:spacing w:line="288" w:lineRule="auto"/>
        <w:ind w:left="360"/>
        <w:rPr>
          <w:rFonts w:eastAsia="Times New Roman"/>
          <w:sz w:val="20"/>
          <w:lang w:eastAsia="ar-SA"/>
        </w:rPr>
      </w:pPr>
      <w:r w:rsidRPr="00F333C1">
        <w:rPr>
          <w:rFonts w:eastAsia="Times New Roman"/>
          <w:sz w:val="20"/>
          <w:lang w:eastAsia="ar-SA"/>
        </w:rPr>
        <w:t>Vid full nyteckning med stöd av samtliga teckningsoptioner kan 14 000 000 nya aktier ges ut vilket motsvarar en utspädning om cirka 6,0 procent av det totala antalet stamaktier och röster i Bolaget efter full teckning av samtliga teckningsoptioner, dock med förbehåll för eventuell omräkning enligt optionsvillkoren och annan utspädning som kan ske som t.ex. emissioner.</w:t>
      </w:r>
    </w:p>
    <w:p w14:paraId="626FF2AA" w14:textId="77777777" w:rsidR="0025163F" w:rsidRPr="00F333C1" w:rsidRDefault="0025163F" w:rsidP="0025163F">
      <w:pPr>
        <w:spacing w:line="288" w:lineRule="auto"/>
        <w:rPr>
          <w:rFonts w:eastAsia="Times New Roman"/>
          <w:sz w:val="20"/>
          <w:lang w:eastAsia="ar-SA"/>
        </w:rPr>
      </w:pPr>
    </w:p>
    <w:p w14:paraId="7BBD5E30" w14:textId="77777777" w:rsidR="0025163F" w:rsidRPr="00F333C1" w:rsidRDefault="0025163F" w:rsidP="0025163F">
      <w:pPr>
        <w:pStyle w:val="Liststycke"/>
        <w:numPr>
          <w:ilvl w:val="0"/>
          <w:numId w:val="4"/>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Kostnader för Bolaget mm</w:t>
      </w:r>
    </w:p>
    <w:p w14:paraId="2AD35000" w14:textId="77777777" w:rsidR="0025163F" w:rsidRPr="00F333C1" w:rsidRDefault="0025163F" w:rsidP="0025163F">
      <w:pPr>
        <w:spacing w:line="288" w:lineRule="auto"/>
        <w:ind w:left="360"/>
        <w:rPr>
          <w:rFonts w:eastAsia="Times New Roman"/>
          <w:sz w:val="20"/>
          <w:lang w:eastAsia="ar-SA"/>
        </w:rPr>
      </w:pPr>
      <w:r w:rsidRPr="00F333C1">
        <w:rPr>
          <w:rFonts w:eastAsia="Times New Roman"/>
          <w:sz w:val="20"/>
          <w:lang w:eastAsia="ar-SA"/>
        </w:rPr>
        <w:t>I och med att Teckningsoptionerna ska överlåtas på marknadsmässiga villkor torde inte några kostnader för sociala avgifter belasta Bolaget anledning av teckningsoptionsprogrammet. Mot denna bakgrund finns det inga skäl för Bolaget att säkra (</w:t>
      </w:r>
      <w:proofErr w:type="spellStart"/>
      <w:r w:rsidRPr="00F333C1">
        <w:rPr>
          <w:rFonts w:eastAsia="Times New Roman"/>
          <w:sz w:val="20"/>
          <w:lang w:eastAsia="ar-SA"/>
        </w:rPr>
        <w:t>hedga</w:t>
      </w:r>
      <w:proofErr w:type="spellEnd"/>
      <w:r w:rsidRPr="00F333C1">
        <w:rPr>
          <w:rFonts w:eastAsia="Times New Roman"/>
          <w:sz w:val="20"/>
          <w:lang w:eastAsia="ar-SA"/>
        </w:rPr>
        <w:t>) teckningsoptionsprogrammet i detta avseende. Det kan dessutom noteras att styrelsen inte förväntar att Bolaget kommer att vidkännas andra kostnader för säkring av teckningsoptionsprogrammet. Utöver kostnaden för administration, implementering och värdering av programmet beräknas inga andra kostnader uppstå i samband med teckningsoptionsprogrammet.</w:t>
      </w:r>
    </w:p>
    <w:p w14:paraId="07B0CD85" w14:textId="77777777" w:rsidR="0025163F" w:rsidRPr="00F333C1" w:rsidRDefault="0025163F" w:rsidP="0025163F">
      <w:pPr>
        <w:spacing w:line="288" w:lineRule="auto"/>
        <w:rPr>
          <w:rFonts w:eastAsia="Times New Roman"/>
          <w:sz w:val="20"/>
          <w:lang w:eastAsia="ar-SA"/>
        </w:rPr>
      </w:pPr>
    </w:p>
    <w:p w14:paraId="24C91FAA" w14:textId="77777777" w:rsidR="0025163F" w:rsidRPr="00F333C1" w:rsidRDefault="0025163F" w:rsidP="0025163F">
      <w:pPr>
        <w:spacing w:line="288" w:lineRule="auto"/>
        <w:ind w:left="360"/>
        <w:rPr>
          <w:rFonts w:eastAsia="Times New Roman"/>
          <w:sz w:val="20"/>
          <w:lang w:eastAsia="ar-SA"/>
        </w:rPr>
      </w:pPr>
      <w:r w:rsidRPr="00F333C1">
        <w:rPr>
          <w:rFonts w:eastAsia="Times New Roman"/>
          <w:sz w:val="20"/>
          <w:lang w:eastAsia="ar-SA"/>
        </w:rPr>
        <w:t>Sammantaget bedömer styrelsen att nyteckningskursen och löptiden för Teckningsoptionerna, samt den maximala tilldelningen av teckningsoptioner till nyckelpersoner får anses rimliga i ljuset av praxis på marknaden och Bolagets behov av att kunna stimulera deltagarnas arbetsinsats genom erbjudande om deltagande i teckningsoptionsprogrammet.</w:t>
      </w:r>
    </w:p>
    <w:p w14:paraId="52D08703" w14:textId="77777777" w:rsidR="0025163F" w:rsidRPr="00F333C1" w:rsidRDefault="0025163F" w:rsidP="0025163F">
      <w:pPr>
        <w:spacing w:line="288" w:lineRule="auto"/>
        <w:rPr>
          <w:rFonts w:eastAsia="Times New Roman"/>
          <w:sz w:val="20"/>
          <w:lang w:eastAsia="ar-SA"/>
        </w:rPr>
      </w:pPr>
    </w:p>
    <w:p w14:paraId="24D85828" w14:textId="77777777" w:rsidR="0025163F" w:rsidRPr="00F333C1" w:rsidRDefault="0025163F" w:rsidP="0025163F">
      <w:pPr>
        <w:pStyle w:val="Liststycke"/>
        <w:numPr>
          <w:ilvl w:val="0"/>
          <w:numId w:val="4"/>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Beredning av ärendet</w:t>
      </w:r>
    </w:p>
    <w:p w14:paraId="1ABAB6BF" w14:textId="77777777" w:rsidR="0025163F" w:rsidRPr="00F333C1" w:rsidRDefault="0025163F" w:rsidP="0025163F">
      <w:pPr>
        <w:spacing w:line="288" w:lineRule="auto"/>
        <w:ind w:firstLine="360"/>
        <w:rPr>
          <w:rFonts w:eastAsia="Times New Roman"/>
          <w:sz w:val="20"/>
          <w:lang w:eastAsia="ar-SA"/>
        </w:rPr>
      </w:pPr>
      <w:r w:rsidRPr="00F333C1">
        <w:rPr>
          <w:rFonts w:eastAsia="Times New Roman"/>
          <w:sz w:val="20"/>
          <w:lang w:eastAsia="ar-SA"/>
        </w:rPr>
        <w:t>Teckningsoptionsprogrammet har arbetats fram av Bolagets styrelse med stöd av externa rådgivare.</w:t>
      </w:r>
    </w:p>
    <w:p w14:paraId="08018A6B" w14:textId="77777777" w:rsidR="0025163F" w:rsidRPr="00F333C1" w:rsidRDefault="0025163F" w:rsidP="0025163F">
      <w:pPr>
        <w:spacing w:line="288" w:lineRule="auto"/>
        <w:rPr>
          <w:rFonts w:eastAsia="Times New Roman"/>
          <w:sz w:val="20"/>
          <w:lang w:eastAsia="ar-SA"/>
        </w:rPr>
      </w:pPr>
    </w:p>
    <w:p w14:paraId="3E27D3DB" w14:textId="77777777" w:rsidR="0025163F" w:rsidRPr="00F333C1" w:rsidRDefault="0025163F" w:rsidP="0025163F">
      <w:pPr>
        <w:pStyle w:val="Liststycke"/>
        <w:numPr>
          <w:ilvl w:val="0"/>
          <w:numId w:val="4"/>
        </w:numPr>
        <w:spacing w:line="288" w:lineRule="auto"/>
        <w:rPr>
          <w:rFonts w:ascii="Times New Roman" w:eastAsia="Times New Roman" w:hAnsi="Times New Roman"/>
          <w:sz w:val="20"/>
          <w:lang w:eastAsia="ar-SA"/>
        </w:rPr>
      </w:pPr>
      <w:r w:rsidRPr="00F333C1">
        <w:rPr>
          <w:rFonts w:ascii="Times New Roman" w:eastAsia="Times New Roman" w:hAnsi="Times New Roman"/>
          <w:sz w:val="20"/>
          <w:lang w:eastAsia="ar-SA"/>
        </w:rPr>
        <w:t>Bemyndigande och beslutsregler</w:t>
      </w:r>
    </w:p>
    <w:p w14:paraId="18F7601D" w14:textId="77777777" w:rsidR="0025163F" w:rsidRPr="00F333C1" w:rsidRDefault="0025163F" w:rsidP="0025163F">
      <w:pPr>
        <w:spacing w:line="288" w:lineRule="auto"/>
        <w:ind w:left="360"/>
        <w:rPr>
          <w:rFonts w:eastAsia="Times New Roman"/>
          <w:sz w:val="20"/>
          <w:lang w:eastAsia="ar-SA"/>
        </w:rPr>
      </w:pPr>
      <w:r w:rsidRPr="00F333C1">
        <w:rPr>
          <w:rFonts w:eastAsia="Times New Roman"/>
          <w:sz w:val="20"/>
          <w:lang w:eastAsia="ar-SA"/>
        </w:rPr>
        <w:t>Stämman uppdrar åt styrelsen för Bolaget att verkställa beslutet enligt punkten A ovan samt att tillse att styrelsen för Dotterbolaget genomför överlåtelsen av teckningsoptioner enligt punkt B ovan.</w:t>
      </w:r>
    </w:p>
    <w:p w14:paraId="652EED0F" w14:textId="77777777" w:rsidR="0025163F" w:rsidRPr="00F333C1" w:rsidRDefault="0025163F" w:rsidP="0025163F">
      <w:pPr>
        <w:spacing w:line="288" w:lineRule="auto"/>
        <w:rPr>
          <w:rFonts w:eastAsia="Times New Roman"/>
          <w:sz w:val="20"/>
          <w:lang w:eastAsia="ar-SA"/>
        </w:rPr>
      </w:pPr>
    </w:p>
    <w:p w14:paraId="54493EF3" w14:textId="77777777" w:rsidR="0025163F" w:rsidRPr="00F333C1" w:rsidRDefault="0025163F" w:rsidP="0025163F">
      <w:pPr>
        <w:spacing w:line="288" w:lineRule="auto"/>
        <w:ind w:left="360"/>
        <w:rPr>
          <w:rFonts w:eastAsia="Times New Roman"/>
          <w:sz w:val="20"/>
          <w:lang w:eastAsia="ar-SA"/>
        </w:rPr>
      </w:pPr>
      <w:r w:rsidRPr="00F333C1">
        <w:rPr>
          <w:rFonts w:eastAsia="Times New Roman"/>
          <w:sz w:val="20"/>
          <w:lang w:eastAsia="ar-SA"/>
        </w:rPr>
        <w:t xml:space="preserve">Styrelsen eller den som styrelsen utser bemyndigas att vidta de smärre justeringar som krävs för beslutets </w:t>
      </w:r>
      <w:r w:rsidRPr="00F333C1">
        <w:rPr>
          <w:rFonts w:eastAsia="Times New Roman"/>
          <w:sz w:val="20"/>
          <w:lang w:eastAsia="ar-SA"/>
        </w:rPr>
        <w:lastRenderedPageBreak/>
        <w:t xml:space="preserve">registrering hos Bolagsverket, </w:t>
      </w:r>
      <w:proofErr w:type="spellStart"/>
      <w:r w:rsidRPr="00F333C1">
        <w:rPr>
          <w:rFonts w:eastAsia="Times New Roman"/>
          <w:sz w:val="20"/>
          <w:lang w:eastAsia="ar-SA"/>
        </w:rPr>
        <w:t>Euroclear</w:t>
      </w:r>
      <w:proofErr w:type="spellEnd"/>
      <w:r w:rsidRPr="00F333C1">
        <w:rPr>
          <w:rFonts w:eastAsia="Times New Roman"/>
          <w:sz w:val="20"/>
          <w:lang w:eastAsia="ar-SA"/>
        </w:rPr>
        <w:t xml:space="preserve"> Sweden AB eller på grund av andra formella krav.</w:t>
      </w:r>
    </w:p>
    <w:p w14:paraId="1900DCB4" w14:textId="77777777" w:rsidR="0025163F" w:rsidRPr="00F333C1" w:rsidRDefault="0025163F" w:rsidP="0025163F">
      <w:pPr>
        <w:spacing w:line="288" w:lineRule="auto"/>
        <w:rPr>
          <w:rFonts w:eastAsia="Times New Roman"/>
          <w:sz w:val="20"/>
          <w:lang w:eastAsia="ar-SA"/>
        </w:rPr>
      </w:pPr>
    </w:p>
    <w:p w14:paraId="511F927F" w14:textId="77777777" w:rsidR="0025163F" w:rsidRPr="00F333C1" w:rsidRDefault="0025163F" w:rsidP="0025163F">
      <w:pPr>
        <w:spacing w:line="288" w:lineRule="auto"/>
        <w:ind w:left="360"/>
        <w:rPr>
          <w:rFonts w:eastAsia="Times New Roman"/>
          <w:sz w:val="20"/>
          <w:lang w:eastAsia="ar-SA"/>
        </w:rPr>
      </w:pPr>
      <w:r w:rsidRPr="00F333C1">
        <w:rPr>
          <w:rFonts w:eastAsia="Times New Roman"/>
          <w:sz w:val="20"/>
          <w:lang w:eastAsia="ar-SA"/>
        </w:rPr>
        <w:t>Stämmans beslut avseende denna punkt är giltiga endast om de biträds av aktieägare med minst nio tiondelar (9/10) av såväl de avgivna rösterna som de vid stämman företrädda aktierna.</w:t>
      </w:r>
    </w:p>
    <w:p w14:paraId="32A25D3C" w14:textId="77777777" w:rsidR="00033625" w:rsidRDefault="00033625"/>
    <w:sectPr w:rsidR="000336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5BB1" w14:textId="77777777" w:rsidR="000A4669" w:rsidRDefault="000A4669" w:rsidP="000A4669">
      <w:r>
        <w:separator/>
      </w:r>
    </w:p>
  </w:endnote>
  <w:endnote w:type="continuationSeparator" w:id="0">
    <w:p w14:paraId="25ACE662" w14:textId="77777777" w:rsidR="000A4669" w:rsidRDefault="000A4669" w:rsidP="000A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B468" w14:textId="77777777" w:rsidR="000A4669" w:rsidRDefault="000A4669" w:rsidP="000A4669">
      <w:r>
        <w:separator/>
      </w:r>
    </w:p>
  </w:footnote>
  <w:footnote w:type="continuationSeparator" w:id="0">
    <w:p w14:paraId="49480C15" w14:textId="77777777" w:rsidR="000A4669" w:rsidRDefault="000A4669" w:rsidP="000A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3201"/>
    <w:multiLevelType w:val="hybridMultilevel"/>
    <w:tmpl w:val="088412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5F9734D"/>
    <w:multiLevelType w:val="hybridMultilevel"/>
    <w:tmpl w:val="1BD4EC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77967F3"/>
    <w:multiLevelType w:val="hybridMultilevel"/>
    <w:tmpl w:val="4260BC7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D433652"/>
    <w:multiLevelType w:val="hybridMultilevel"/>
    <w:tmpl w:val="352C25BE"/>
    <w:lvl w:ilvl="0" w:tplc="041D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6996414">
    <w:abstractNumId w:val="2"/>
  </w:num>
  <w:num w:numId="2" w16cid:durableId="1449201603">
    <w:abstractNumId w:val="3"/>
  </w:num>
  <w:num w:numId="3" w16cid:durableId="734282404">
    <w:abstractNumId w:val="0"/>
  </w:num>
  <w:num w:numId="4" w16cid:durableId="626936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3F"/>
    <w:rsid w:val="00033625"/>
    <w:rsid w:val="000A4669"/>
    <w:rsid w:val="001A014A"/>
    <w:rsid w:val="0025163F"/>
    <w:rsid w:val="0030537A"/>
    <w:rsid w:val="006313E2"/>
    <w:rsid w:val="00763291"/>
    <w:rsid w:val="00A95393"/>
    <w:rsid w:val="00CF62F6"/>
    <w:rsid w:val="00D560B5"/>
    <w:rsid w:val="0A45225B"/>
    <w:rsid w:val="609C5B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E1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3F"/>
    <w:pPr>
      <w:widowControl w:val="0"/>
      <w:suppressAutoHyphens/>
      <w:spacing w:after="0" w:line="240" w:lineRule="auto"/>
    </w:pPr>
    <w:rPr>
      <w:rFonts w:ascii="Times New Roman" w:eastAsia="Lucida Sans Unicode"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5163F"/>
    <w:pPr>
      <w:widowControl/>
      <w:suppressAutoHyphens w:val="0"/>
      <w:spacing w:after="200" w:line="276" w:lineRule="auto"/>
      <w:ind w:left="720"/>
      <w:contextualSpacing/>
    </w:pPr>
    <w:rPr>
      <w:rFonts w:ascii="Calibri" w:eastAsia="Calibri" w:hAnsi="Calibri"/>
      <w:sz w:val="22"/>
      <w:szCs w:val="22"/>
      <w:lang w:eastAsia="en-US"/>
    </w:rPr>
  </w:style>
  <w:style w:type="paragraph" w:styleId="Sidhuvud">
    <w:name w:val="header"/>
    <w:basedOn w:val="Normal"/>
    <w:link w:val="SidhuvudChar"/>
    <w:uiPriority w:val="99"/>
    <w:unhideWhenUsed/>
    <w:rsid w:val="000A4669"/>
    <w:pPr>
      <w:tabs>
        <w:tab w:val="center" w:pos="4536"/>
        <w:tab w:val="right" w:pos="9072"/>
      </w:tabs>
    </w:pPr>
  </w:style>
  <w:style w:type="character" w:customStyle="1" w:styleId="SidhuvudChar">
    <w:name w:val="Sidhuvud Char"/>
    <w:basedOn w:val="Standardstycketeckensnitt"/>
    <w:link w:val="Sidhuvud"/>
    <w:uiPriority w:val="99"/>
    <w:rsid w:val="000A4669"/>
    <w:rPr>
      <w:rFonts w:ascii="Times New Roman" w:eastAsia="Lucida Sans Unicode" w:hAnsi="Times New Roman" w:cs="Times New Roman"/>
      <w:sz w:val="24"/>
      <w:szCs w:val="20"/>
      <w:lang w:eastAsia="sv-SE"/>
    </w:rPr>
  </w:style>
  <w:style w:type="paragraph" w:styleId="Sidfot">
    <w:name w:val="footer"/>
    <w:basedOn w:val="Normal"/>
    <w:link w:val="SidfotChar"/>
    <w:uiPriority w:val="99"/>
    <w:unhideWhenUsed/>
    <w:rsid w:val="000A4669"/>
    <w:pPr>
      <w:tabs>
        <w:tab w:val="center" w:pos="4536"/>
        <w:tab w:val="right" w:pos="9072"/>
      </w:tabs>
    </w:pPr>
  </w:style>
  <w:style w:type="character" w:customStyle="1" w:styleId="SidfotChar">
    <w:name w:val="Sidfot Char"/>
    <w:basedOn w:val="Standardstycketeckensnitt"/>
    <w:link w:val="Sidfot"/>
    <w:uiPriority w:val="99"/>
    <w:rsid w:val="000A4669"/>
    <w:rPr>
      <w:rFonts w:ascii="Times New Roman" w:eastAsia="Lucida Sans Unicode"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A6EC0F6B893F2478115CE17068994B2" ma:contentTypeVersion="8" ma:contentTypeDescription="Skapa ett nytt dokument." ma:contentTypeScope="" ma:versionID="f803a0c93fad39d5c82045f14e78d0a6">
  <xsd:schema xmlns:xsd="http://www.w3.org/2001/XMLSchema" xmlns:xs="http://www.w3.org/2001/XMLSchema" xmlns:p="http://schemas.microsoft.com/office/2006/metadata/properties" xmlns:ns2="99209123-9441-4ce3-888d-542b2c42bcb8" targetNamespace="http://schemas.microsoft.com/office/2006/metadata/properties" ma:root="true" ma:fieldsID="542387deecddd8bd4ac4ef4be25585cb" ns2:_="">
    <xsd:import namespace="99209123-9441-4ce3-888d-542b2c42b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09123-9441-4ce3-888d-542b2c42b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F7BE4-1E98-4799-BB8A-D10804D3CB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B32CF1-FD26-4779-8DC9-72D08DD60175}">
  <ds:schemaRefs>
    <ds:schemaRef ds:uri="http://schemas.microsoft.com/sharepoint/v3/contenttype/forms"/>
  </ds:schemaRefs>
</ds:datastoreItem>
</file>

<file path=customXml/itemProps3.xml><?xml version="1.0" encoding="utf-8"?>
<ds:datastoreItem xmlns:ds="http://schemas.openxmlformats.org/officeDocument/2006/customXml" ds:itemID="{0A622F4F-4924-4F7C-94E5-9ABD4F627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09123-9441-4ce3-888d-542b2c42b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5441</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2022-05-10T15:25:00Z</dcterms:created>
  <dcterms:modified xsi:type="dcterms:W3CDTF">2022-05-16T15:40:00Z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0x0101006A6EC0F6B893F2478115CE17068994B2</vt:lpwstr>
  </property>
</Properties>
</file>