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6EE9" w14:textId="491F59D9" w:rsidR="0025163F" w:rsidRDefault="0025163F" w:rsidP="0025163F">
      <w:pPr>
        <w:spacing w:line="288" w:lineRule="auto"/>
        <w:jc w:val="right"/>
        <w:rPr>
          <w:rFonts w:eastAsia="Times New Roman"/>
          <w:b/>
          <w:bCs/>
          <w:sz w:val="22"/>
          <w:szCs w:val="22"/>
          <w:u w:val="single"/>
          <w:lang w:eastAsia="ar-SA"/>
        </w:rPr>
      </w:pPr>
      <w:r>
        <w:rPr>
          <w:rFonts w:eastAsia="Times New Roman"/>
          <w:b/>
          <w:bCs/>
          <w:sz w:val="22"/>
          <w:szCs w:val="22"/>
          <w:u w:val="single"/>
          <w:lang w:eastAsia="ar-SA"/>
        </w:rPr>
        <w:t>Bilaga 4</w:t>
      </w:r>
    </w:p>
    <w:p w14:paraId="52C6C2F5" w14:textId="77777777" w:rsidR="0025163F" w:rsidRPr="0025163F" w:rsidRDefault="0025163F" w:rsidP="0025163F">
      <w:pPr>
        <w:spacing w:line="288" w:lineRule="auto"/>
        <w:jc w:val="right"/>
        <w:rPr>
          <w:rFonts w:eastAsia="Times New Roman"/>
          <w:b/>
          <w:bCs/>
          <w:sz w:val="22"/>
          <w:szCs w:val="22"/>
          <w:u w:val="single"/>
          <w:lang w:eastAsia="ar-SA"/>
        </w:rPr>
      </w:pPr>
    </w:p>
    <w:p w14:paraId="573FBE63" w14:textId="046E9D91" w:rsidR="0025163F" w:rsidRPr="00F333C1" w:rsidRDefault="0025163F" w:rsidP="0025163F">
      <w:pPr>
        <w:spacing w:line="288" w:lineRule="auto"/>
        <w:jc w:val="center"/>
        <w:rPr>
          <w:rFonts w:eastAsia="Times New Roman"/>
          <w:b/>
          <w:bCs/>
          <w:sz w:val="22"/>
          <w:szCs w:val="22"/>
          <w:lang w:eastAsia="ar-SA"/>
        </w:rPr>
      </w:pPr>
      <w:r w:rsidRPr="00F333C1">
        <w:rPr>
          <w:rFonts w:eastAsia="Times New Roman"/>
          <w:b/>
          <w:bCs/>
          <w:sz w:val="22"/>
          <w:szCs w:val="22"/>
          <w:lang w:eastAsia="ar-SA"/>
        </w:rPr>
        <w:t>Beslut om 14 000 000 teckningsoptioner</w:t>
      </w:r>
    </w:p>
    <w:p w14:paraId="7F8F8F19" w14:textId="77777777" w:rsidR="0025163F" w:rsidRDefault="0025163F" w:rsidP="0025163F">
      <w:pPr>
        <w:spacing w:line="288" w:lineRule="auto"/>
        <w:rPr>
          <w:rFonts w:eastAsia="Times New Roman"/>
          <w:sz w:val="20"/>
          <w:lang w:eastAsia="ar-SA"/>
        </w:rPr>
      </w:pPr>
    </w:p>
    <w:p w14:paraId="4377C264" w14:textId="58243199" w:rsidR="0025163F" w:rsidRPr="00F333C1" w:rsidRDefault="0025163F" w:rsidP="0025163F">
      <w:pPr>
        <w:spacing w:line="288" w:lineRule="auto"/>
        <w:rPr>
          <w:rFonts w:eastAsia="Times New Roman"/>
          <w:sz w:val="20"/>
          <w:lang w:eastAsia="ar-SA"/>
        </w:rPr>
      </w:pPr>
      <w:r w:rsidRPr="00F333C1">
        <w:rPr>
          <w:rFonts w:eastAsia="Times New Roman"/>
          <w:sz w:val="20"/>
          <w:lang w:eastAsia="ar-SA"/>
        </w:rPr>
        <w:t>Styrelsen föreslår att stämman beslutar om emission av teckningsoptioner enligt följande och att stämman beslutar om godkännande av överlåtelse av teckningsoptioner m.m.</w:t>
      </w:r>
    </w:p>
    <w:p w14:paraId="64695BC7" w14:textId="77777777" w:rsidR="0025163F" w:rsidRPr="00F333C1" w:rsidRDefault="0025163F" w:rsidP="0025163F">
      <w:pPr>
        <w:spacing w:line="288" w:lineRule="auto"/>
        <w:rPr>
          <w:rFonts w:eastAsia="Times New Roman"/>
          <w:sz w:val="20"/>
          <w:lang w:eastAsia="ar-SA"/>
        </w:rPr>
      </w:pPr>
    </w:p>
    <w:p w14:paraId="38F2DF40" w14:textId="77777777" w:rsidR="0025163F" w:rsidRPr="00D40D7A" w:rsidRDefault="0025163F" w:rsidP="0025163F">
      <w:pPr>
        <w:pStyle w:val="Liststycke"/>
        <w:numPr>
          <w:ilvl w:val="0"/>
          <w:numId w:val="1"/>
        </w:numPr>
        <w:spacing w:line="288" w:lineRule="auto"/>
        <w:ind w:left="0" w:firstLine="0"/>
        <w:rPr>
          <w:rFonts w:ascii="Times New Roman" w:eastAsia="Times New Roman" w:hAnsi="Times New Roman"/>
          <w:lang w:eastAsia="ar-SA"/>
        </w:rPr>
      </w:pPr>
      <w:r w:rsidRPr="00D40D7A">
        <w:rPr>
          <w:rFonts w:ascii="Times New Roman" w:eastAsia="Times New Roman" w:hAnsi="Times New Roman"/>
          <w:lang w:eastAsia="ar-SA"/>
        </w:rPr>
        <w:t>Emission av teckningsoptioner</w:t>
      </w:r>
    </w:p>
    <w:p w14:paraId="586B5AB0" w14:textId="77777777" w:rsidR="0025163F" w:rsidRPr="00F333C1" w:rsidRDefault="0025163F" w:rsidP="609C5BB4">
      <w:pPr>
        <w:spacing w:line="288" w:lineRule="auto"/>
        <w:rPr>
          <w:rFonts w:eastAsia="Times New Roman"/>
          <w:sz w:val="20"/>
          <w:lang w:eastAsia="ar-SA"/>
        </w:rPr>
      </w:pPr>
      <w:r w:rsidRPr="609C5BB4">
        <w:rPr>
          <w:rFonts w:eastAsia="Times New Roman"/>
          <w:sz w:val="20"/>
          <w:lang w:eastAsia="ar-SA"/>
        </w:rPr>
        <w:t>Styrelsen för Sustainable Energy Solutions Sweden Holding AB, org. Nr. 556530-5868, (”</w:t>
      </w:r>
      <w:r w:rsidRPr="609C5BB4">
        <w:rPr>
          <w:rFonts w:eastAsia="Times New Roman"/>
          <w:b/>
          <w:bCs/>
          <w:sz w:val="20"/>
          <w:lang w:eastAsia="ar-SA"/>
        </w:rPr>
        <w:t>Bolaget</w:t>
      </w:r>
      <w:r w:rsidRPr="609C5BB4">
        <w:rPr>
          <w:rFonts w:eastAsia="Times New Roman"/>
          <w:sz w:val="20"/>
          <w:lang w:eastAsia="ar-SA"/>
        </w:rPr>
        <w:t>” eller ”</w:t>
      </w:r>
      <w:r w:rsidRPr="609C5BB4">
        <w:rPr>
          <w:rFonts w:eastAsia="Times New Roman"/>
          <w:b/>
          <w:bCs/>
          <w:sz w:val="20"/>
          <w:lang w:eastAsia="ar-SA"/>
        </w:rPr>
        <w:t>SUST</w:t>
      </w:r>
      <w:r w:rsidRPr="609C5BB4">
        <w:rPr>
          <w:rFonts w:eastAsia="Times New Roman"/>
          <w:sz w:val="20"/>
          <w:lang w:eastAsia="ar-SA"/>
        </w:rPr>
        <w:t>”) föreslår att stämman beslutar om en riktad emission av högst 14 000 000 teckningsoptioner avseende stamaktier (”</w:t>
      </w:r>
      <w:r w:rsidRPr="609C5BB4">
        <w:rPr>
          <w:rFonts w:eastAsia="Times New Roman"/>
          <w:b/>
          <w:bCs/>
          <w:sz w:val="20"/>
          <w:lang w:eastAsia="ar-SA"/>
        </w:rPr>
        <w:t>Teckningsoptionerna</w:t>
      </w:r>
      <w:r w:rsidRPr="609C5BB4">
        <w:rPr>
          <w:rFonts w:eastAsia="Times New Roman"/>
          <w:sz w:val="20"/>
          <w:lang w:eastAsia="ar-SA"/>
        </w:rPr>
        <w:t>”), innebärande en ökning av aktiekapitalet vid fullt utnyttjade med högst 1 394 749,34 kronor. För beslutet ska i övrigt följande villkor gälla.</w:t>
      </w:r>
    </w:p>
    <w:p w14:paraId="2982F3DF" w14:textId="77777777" w:rsidR="0025163F" w:rsidRPr="00F333C1" w:rsidRDefault="0025163F" w:rsidP="0025163F">
      <w:pPr>
        <w:spacing w:line="288" w:lineRule="auto"/>
        <w:rPr>
          <w:rFonts w:eastAsia="Times New Roman"/>
          <w:sz w:val="20"/>
          <w:lang w:eastAsia="ar-SA"/>
        </w:rPr>
      </w:pPr>
    </w:p>
    <w:p w14:paraId="1FD27500"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 xml:space="preserve">Rätt att teckna Teckningsoptionerna ska, med avvikelse från aktieägarnas företrädesrätt, tillfalla Bolagets helägda dotterbolag som av Bolaget bedöms lämpligt för ändamålet. Dotterbolaget ska </w:t>
      </w:r>
      <w:proofErr w:type="spellStart"/>
      <w:r w:rsidRPr="00F333C1">
        <w:rPr>
          <w:rFonts w:ascii="Times New Roman" w:eastAsia="Times New Roman" w:hAnsi="Times New Roman"/>
          <w:sz w:val="20"/>
          <w:lang w:eastAsia="ar-SA"/>
        </w:rPr>
        <w:t>vidareöverlåta</w:t>
      </w:r>
      <w:proofErr w:type="spellEnd"/>
      <w:r w:rsidRPr="00F333C1">
        <w:rPr>
          <w:rFonts w:ascii="Times New Roman" w:eastAsia="Times New Roman" w:hAnsi="Times New Roman"/>
          <w:sz w:val="20"/>
          <w:lang w:eastAsia="ar-SA"/>
        </w:rPr>
        <w:t xml:space="preserve"> teckningsoptioner till anställda och styrelseledamöter enligt punkt B nedan.</w:t>
      </w:r>
    </w:p>
    <w:p w14:paraId="67DF434F"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Överteckning kan inte ske.</w:t>
      </w:r>
    </w:p>
    <w:p w14:paraId="7B262462"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Skälet till avvikelsen från aktieägarnas företrädesrätt är att Teckningsoptionerna ingår i ett incitamentsprogram för anställda och styrelsen. Styrelsen anser att Bolaget bör främja Bolagets långsiktiga finansiella intressen genom att uppmuntra till ett ägarintresse i Bolaget av nyckelpersoner.</w:t>
      </w:r>
    </w:p>
    <w:p w14:paraId="014EB905"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Teckningsoptionerna emitteras vederlagsfritt till Dotterbolaget.</w:t>
      </w:r>
    </w:p>
    <w:p w14:paraId="441C9A35" w14:textId="2467193A"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 xml:space="preserve">Teckning av Teckningsoptionerna ska ske senast den </w:t>
      </w:r>
      <w:r w:rsidR="00D560B5">
        <w:rPr>
          <w:rFonts w:ascii="Times New Roman" w:eastAsia="Times New Roman" w:hAnsi="Times New Roman"/>
          <w:sz w:val="20"/>
          <w:lang w:eastAsia="ar-SA"/>
        </w:rPr>
        <w:t>15</w:t>
      </w:r>
      <w:r w:rsidRPr="00F333C1">
        <w:rPr>
          <w:rFonts w:ascii="Times New Roman" w:eastAsia="Times New Roman" w:hAnsi="Times New Roman"/>
          <w:sz w:val="20"/>
          <w:lang w:eastAsia="ar-SA"/>
        </w:rPr>
        <w:t xml:space="preserve"> </w:t>
      </w:r>
      <w:r w:rsidR="00CF62F6">
        <w:rPr>
          <w:rFonts w:ascii="Times New Roman" w:eastAsia="Times New Roman" w:hAnsi="Times New Roman"/>
          <w:sz w:val="20"/>
          <w:lang w:eastAsia="ar-SA"/>
        </w:rPr>
        <w:t>november</w:t>
      </w:r>
      <w:r w:rsidRPr="00F333C1">
        <w:rPr>
          <w:rFonts w:ascii="Times New Roman" w:eastAsia="Times New Roman" w:hAnsi="Times New Roman"/>
          <w:sz w:val="20"/>
          <w:lang w:eastAsia="ar-SA"/>
        </w:rPr>
        <w:t xml:space="preserve"> 2023. </w:t>
      </w:r>
    </w:p>
    <w:p w14:paraId="1854AF3C" w14:textId="2E3204C6"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Nyteckning av aktier med stöd av Teckningsoptionerna kan ske under perioden från och med den 15 maj 2025 och till och med den 15 juni 2025. Bolagets styrelse har rätt att under nämnda teckningstid sammanställa, tilldela och registrera tecknade aktier veckovis, och har rätt att göra det vid flera tillfällen.</w:t>
      </w:r>
    </w:p>
    <w:p w14:paraId="03D356C9"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Varje teckningsoption ska medföra en rätt att teckna en (1) ny aktie i Bolaget till en teckningskurs motsvarande 0,52 kronor.</w:t>
      </w:r>
    </w:p>
    <w:p w14:paraId="5DB50328"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Skillnaden mellan teckningskursen 0,52 kronor per aktie och kvotvärdet skall fördelas till fri överkursfond.</w:t>
      </w:r>
    </w:p>
    <w:p w14:paraId="044700D5" w14:textId="77777777" w:rsidR="0025163F" w:rsidRPr="00F333C1"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De nya aktierna ger rätt till utdelning första gången på den avstämningsdag för utdelning som infaller närmast efter det att teckning verkställts.</w:t>
      </w:r>
    </w:p>
    <w:p w14:paraId="32F7A30D" w14:textId="77777777" w:rsidR="0025163F" w:rsidRDefault="0025163F" w:rsidP="0025163F">
      <w:pPr>
        <w:pStyle w:val="Liststycke"/>
        <w:numPr>
          <w:ilvl w:val="0"/>
          <w:numId w:val="2"/>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Teckningsoptioner som innehas av Dotterbolaget och som inte överlåtits enligt punkt B får antingen på nytt avyttras till medarbetare inom Bolaget eller dess dotterbolag eller makuleras av Bolaget efter beslut av styrelsen för Bolaget med samtycke av styrelsen för Dotterbolaget. Makulering ska anmälas till Bolagsverket för registrering.</w:t>
      </w:r>
    </w:p>
    <w:p w14:paraId="3450F93C" w14:textId="77777777" w:rsidR="0025163F" w:rsidRPr="00D40D7A" w:rsidRDefault="0025163F" w:rsidP="0025163F">
      <w:pPr>
        <w:spacing w:line="288" w:lineRule="auto"/>
        <w:rPr>
          <w:rFonts w:eastAsia="Times New Roman"/>
          <w:sz w:val="20"/>
          <w:lang w:eastAsia="ar-SA"/>
        </w:rPr>
      </w:pPr>
    </w:p>
    <w:p w14:paraId="21763928" w14:textId="77777777" w:rsidR="0025163F" w:rsidRPr="00D40D7A" w:rsidRDefault="0025163F" w:rsidP="0025163F">
      <w:pPr>
        <w:pStyle w:val="Liststycke"/>
        <w:numPr>
          <w:ilvl w:val="0"/>
          <w:numId w:val="1"/>
        </w:numPr>
        <w:spacing w:line="288" w:lineRule="auto"/>
        <w:ind w:left="0" w:firstLine="0"/>
        <w:rPr>
          <w:rFonts w:ascii="Times New Roman" w:eastAsia="Times New Roman" w:hAnsi="Times New Roman"/>
          <w:lang w:eastAsia="ar-SA"/>
        </w:rPr>
      </w:pPr>
      <w:r w:rsidRPr="00D40D7A">
        <w:rPr>
          <w:rFonts w:ascii="Times New Roman" w:eastAsia="Times New Roman" w:hAnsi="Times New Roman"/>
          <w:lang w:eastAsia="ar-SA"/>
        </w:rPr>
        <w:t>Godkännande av överlåtelse av teckningsoptioner</w:t>
      </w:r>
    </w:p>
    <w:p w14:paraId="4F7B7C83" w14:textId="77777777" w:rsidR="0025163F" w:rsidRPr="00F333C1" w:rsidRDefault="0025163F" w:rsidP="0025163F">
      <w:pPr>
        <w:pStyle w:val="Liststycke"/>
        <w:numPr>
          <w:ilvl w:val="0"/>
          <w:numId w:val="3"/>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Förvärvsberättigade</w:t>
      </w:r>
    </w:p>
    <w:p w14:paraId="4F648448"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Rätt att förvärva teckningsoptioner från Dotterbolaget ska tillkomma ledande befattningshavare i SUST-koncernen och styrelseledamöter i moderbolaget, med maximalt 1 000 000 teckningsoptioner per person. Rätt att förvärva teckningsoptioner från Dotterbolaget ska endast tillkomma de personer som vid tidpunkten för tilldelning ej sagt upp sig eller blivit uppsagda.</w:t>
      </w:r>
    </w:p>
    <w:p w14:paraId="5E339E10" w14:textId="77777777" w:rsidR="0025163F" w:rsidRPr="00F333C1" w:rsidRDefault="0025163F" w:rsidP="0025163F">
      <w:pPr>
        <w:spacing w:line="288" w:lineRule="auto"/>
        <w:rPr>
          <w:rFonts w:eastAsia="Times New Roman"/>
          <w:sz w:val="20"/>
          <w:lang w:eastAsia="ar-SA"/>
        </w:rPr>
      </w:pPr>
    </w:p>
    <w:p w14:paraId="7D43B8D4"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Teckningsoptioner ska även kunna erbjudas till kommande nya medarbetare och styrelseledamöter i det fall Dotterbolaget har osålda teckningsoptioner. För sådana förvärv ska villkoren vara desamma eller motsvarande vad som anges i detta beslut. Detta innebär bland annat att förvärv ska ske till det då aktuella marknadsvärdet.</w:t>
      </w:r>
    </w:p>
    <w:p w14:paraId="2A16A83C" w14:textId="77777777" w:rsidR="0025163F" w:rsidRPr="00F333C1" w:rsidRDefault="0025163F" w:rsidP="0025163F">
      <w:pPr>
        <w:spacing w:line="288" w:lineRule="auto"/>
        <w:rPr>
          <w:rFonts w:eastAsia="Times New Roman"/>
          <w:sz w:val="20"/>
          <w:lang w:eastAsia="ar-SA"/>
        </w:rPr>
      </w:pPr>
    </w:p>
    <w:p w14:paraId="4240CC28"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Tilldelning förutsätter, dels att förvärv av teckningsoptioner lagligen kan ske, dels att det enligt styrelsens bedömning kan ske till rimliga administrativa och ekonomiska insatser.</w:t>
      </w:r>
    </w:p>
    <w:p w14:paraId="4AE4E383" w14:textId="77777777" w:rsidR="0025163F" w:rsidRPr="00F333C1" w:rsidRDefault="0025163F" w:rsidP="0025163F">
      <w:pPr>
        <w:spacing w:line="288" w:lineRule="auto"/>
        <w:rPr>
          <w:rFonts w:eastAsia="Times New Roman"/>
          <w:sz w:val="20"/>
          <w:lang w:eastAsia="ar-SA"/>
        </w:rPr>
      </w:pPr>
    </w:p>
    <w:p w14:paraId="49F8EF48" w14:textId="77777777" w:rsidR="0025163F" w:rsidRPr="00F333C1" w:rsidRDefault="0025163F" w:rsidP="0025163F">
      <w:pPr>
        <w:pStyle w:val="Liststycke"/>
        <w:numPr>
          <w:ilvl w:val="0"/>
          <w:numId w:val="3"/>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Försäljningsperiod</w:t>
      </w:r>
    </w:p>
    <w:p w14:paraId="6E007D10" w14:textId="7FC6046F"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 xml:space="preserve">Teckningsoptionerna ska överlåtas till förvärvsberättigade i SUST-koncernen. Avsikten är att huvuddelen av Teckningsoptionerna ska överlåtas under perioden 1 juni 2022 till och med 30 september 2022. Det ska dock finnas en flexibilitet som möjliggör att osålda teckningsoptioner överlåts till framtida medarbetare, dock senast den 15 </w:t>
      </w:r>
      <w:r w:rsidR="00D560B5">
        <w:rPr>
          <w:rFonts w:eastAsia="Times New Roman"/>
          <w:sz w:val="20"/>
          <w:lang w:eastAsia="ar-SA"/>
        </w:rPr>
        <w:t>november</w:t>
      </w:r>
      <w:r w:rsidRPr="00F333C1">
        <w:rPr>
          <w:rFonts w:eastAsia="Times New Roman"/>
          <w:sz w:val="20"/>
          <w:lang w:eastAsia="ar-SA"/>
        </w:rPr>
        <w:t xml:space="preserve"> 2023, varvid anmälan om förvärv av teckningsoptioner ska ske senast den 3</w:t>
      </w:r>
      <w:r w:rsidR="006313E2">
        <w:rPr>
          <w:rFonts w:eastAsia="Times New Roman"/>
          <w:sz w:val="20"/>
          <w:lang w:eastAsia="ar-SA"/>
        </w:rPr>
        <w:t>0</w:t>
      </w:r>
      <w:r w:rsidRPr="00F333C1">
        <w:rPr>
          <w:rFonts w:eastAsia="Times New Roman"/>
          <w:sz w:val="20"/>
          <w:lang w:eastAsia="ar-SA"/>
        </w:rPr>
        <w:t xml:space="preserve"> </w:t>
      </w:r>
      <w:r w:rsidR="00763291">
        <w:rPr>
          <w:rFonts w:eastAsia="Times New Roman"/>
          <w:sz w:val="20"/>
          <w:lang w:eastAsia="ar-SA"/>
        </w:rPr>
        <w:t>o</w:t>
      </w:r>
      <w:r w:rsidR="006313E2">
        <w:rPr>
          <w:rFonts w:eastAsia="Times New Roman"/>
          <w:sz w:val="20"/>
          <w:lang w:eastAsia="ar-SA"/>
        </w:rPr>
        <w:t>k</w:t>
      </w:r>
      <w:r w:rsidR="00763291">
        <w:rPr>
          <w:rFonts w:eastAsia="Times New Roman"/>
          <w:sz w:val="20"/>
          <w:lang w:eastAsia="ar-SA"/>
        </w:rPr>
        <w:t>tober</w:t>
      </w:r>
      <w:r w:rsidRPr="00F333C1">
        <w:rPr>
          <w:rFonts w:eastAsia="Times New Roman"/>
          <w:sz w:val="20"/>
          <w:lang w:eastAsia="ar-SA"/>
        </w:rPr>
        <w:t xml:space="preserve"> 2023.</w:t>
      </w:r>
    </w:p>
    <w:p w14:paraId="23CABBD6" w14:textId="77777777" w:rsidR="0025163F" w:rsidRPr="00F333C1" w:rsidRDefault="0025163F" w:rsidP="0025163F">
      <w:pPr>
        <w:spacing w:line="288" w:lineRule="auto"/>
        <w:rPr>
          <w:rFonts w:eastAsia="Times New Roman"/>
          <w:sz w:val="20"/>
          <w:lang w:eastAsia="ar-SA"/>
        </w:rPr>
      </w:pPr>
    </w:p>
    <w:p w14:paraId="3394BF4F" w14:textId="77777777" w:rsidR="0025163F" w:rsidRPr="00F333C1" w:rsidRDefault="0025163F" w:rsidP="0025163F">
      <w:pPr>
        <w:pStyle w:val="Liststycke"/>
        <w:numPr>
          <w:ilvl w:val="0"/>
          <w:numId w:val="3"/>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Pris och betalning</w:t>
      </w:r>
    </w:p>
    <w:p w14:paraId="6C7C06DF"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Teckningsoptionerna ska överlåtas på marknadsmässiga villkor till ett pris (premie) som fastställs utifrån ett beräknat marknadsvärde för Teckningsoptionerna med tillämpning av en allmänt vedertagen värderingsmodell (Black &amp; Scholes). För eventuella förvärv som sker av tillkommande medarbetare ska nytt marknadspris fastställas på motsvarande sätt. Värdet har preliminärt beräknats till 0,0233 kronor per teckningsoption baserat på en aktiekurs om 0,30 kronor och en teckningskurs per aktie om 0,52 kronor.</w:t>
      </w:r>
    </w:p>
    <w:p w14:paraId="6D209CA9" w14:textId="77777777" w:rsidR="0025163F" w:rsidRPr="00F333C1" w:rsidRDefault="0025163F" w:rsidP="0025163F">
      <w:pPr>
        <w:spacing w:line="288" w:lineRule="auto"/>
        <w:rPr>
          <w:rFonts w:eastAsia="Times New Roman"/>
          <w:sz w:val="20"/>
          <w:lang w:eastAsia="ar-SA"/>
        </w:rPr>
      </w:pPr>
    </w:p>
    <w:p w14:paraId="1726DEC8" w14:textId="77777777" w:rsidR="0025163F" w:rsidRPr="00D40D7A" w:rsidRDefault="0025163F" w:rsidP="0025163F">
      <w:pPr>
        <w:pStyle w:val="Liststycke"/>
        <w:numPr>
          <w:ilvl w:val="0"/>
          <w:numId w:val="1"/>
        </w:numPr>
        <w:spacing w:line="288" w:lineRule="auto"/>
        <w:ind w:left="0" w:firstLine="0"/>
        <w:rPr>
          <w:rFonts w:ascii="Times New Roman" w:eastAsia="Times New Roman" w:hAnsi="Times New Roman"/>
          <w:lang w:eastAsia="ar-SA"/>
        </w:rPr>
      </w:pPr>
      <w:r w:rsidRPr="00D40D7A">
        <w:rPr>
          <w:rFonts w:ascii="Times New Roman" w:eastAsia="Times New Roman" w:hAnsi="Times New Roman"/>
          <w:lang w:eastAsia="ar-SA"/>
        </w:rPr>
        <w:t>Närmare information om teckningsoptionsprogrammet</w:t>
      </w:r>
    </w:p>
    <w:p w14:paraId="493D5AF9" w14:textId="77777777" w:rsidR="0025163F" w:rsidRPr="00F333C1" w:rsidRDefault="0025163F" w:rsidP="0025163F">
      <w:pPr>
        <w:pStyle w:val="Liststycke"/>
        <w:numPr>
          <w:ilvl w:val="0"/>
          <w:numId w:val="4"/>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Utspädning</w:t>
      </w:r>
    </w:p>
    <w:p w14:paraId="51D7E4C3"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Vid full nyteckning med stöd av samtliga teckningsoptioner kan 14 000 000 nya aktier ges ut vilket motsvarar en utspädning om cirka 6,0 procent av det totala antalet stamaktier och röster i Bolaget efter full teckning av samtliga teckningsoptioner, dock med förbehåll för eventuell omräkning enligt optionsvillkoren och annan utspädning som kan ske som t.ex. emissioner.</w:t>
      </w:r>
    </w:p>
    <w:p w14:paraId="626FF2AA" w14:textId="77777777" w:rsidR="0025163F" w:rsidRPr="00F333C1" w:rsidRDefault="0025163F" w:rsidP="0025163F">
      <w:pPr>
        <w:spacing w:line="288" w:lineRule="auto"/>
        <w:rPr>
          <w:rFonts w:eastAsia="Times New Roman"/>
          <w:sz w:val="20"/>
          <w:lang w:eastAsia="ar-SA"/>
        </w:rPr>
      </w:pPr>
    </w:p>
    <w:p w14:paraId="7BBD5E30" w14:textId="77777777" w:rsidR="0025163F" w:rsidRPr="00F333C1" w:rsidRDefault="0025163F" w:rsidP="0025163F">
      <w:pPr>
        <w:pStyle w:val="Liststycke"/>
        <w:numPr>
          <w:ilvl w:val="0"/>
          <w:numId w:val="4"/>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Kostnader för Bolaget mm</w:t>
      </w:r>
    </w:p>
    <w:p w14:paraId="2AD35000"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I och med att Teckningsoptionerna ska överlåtas på marknadsmässiga villkor torde inte några kostnader för sociala avgifter belasta Bolaget anledning av teckningsoptionsprogrammet. Mot denna bakgrund finns det inga skäl för Bolaget att säkra (</w:t>
      </w:r>
      <w:proofErr w:type="spellStart"/>
      <w:r w:rsidRPr="00F333C1">
        <w:rPr>
          <w:rFonts w:eastAsia="Times New Roman"/>
          <w:sz w:val="20"/>
          <w:lang w:eastAsia="ar-SA"/>
        </w:rPr>
        <w:t>hedga</w:t>
      </w:r>
      <w:proofErr w:type="spellEnd"/>
      <w:r w:rsidRPr="00F333C1">
        <w:rPr>
          <w:rFonts w:eastAsia="Times New Roman"/>
          <w:sz w:val="20"/>
          <w:lang w:eastAsia="ar-SA"/>
        </w:rPr>
        <w:t>) teckningsoptionsprogrammet i detta avseende. Det kan dessutom noteras att styrelsen inte förväntar att Bolaget kommer att vidkännas andra kostnader för säkring av teckningsoptionsprogrammet. Utöver kostnaden för administration, implementering och värdering av programmet beräknas inga andra kostnader uppstå i samband med teckningsoptionsprogrammet.</w:t>
      </w:r>
    </w:p>
    <w:p w14:paraId="07B0CD85" w14:textId="77777777" w:rsidR="0025163F" w:rsidRPr="00F333C1" w:rsidRDefault="0025163F" w:rsidP="0025163F">
      <w:pPr>
        <w:spacing w:line="288" w:lineRule="auto"/>
        <w:rPr>
          <w:rFonts w:eastAsia="Times New Roman"/>
          <w:sz w:val="20"/>
          <w:lang w:eastAsia="ar-SA"/>
        </w:rPr>
      </w:pPr>
    </w:p>
    <w:p w14:paraId="24C91FAA"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Sammantaget bedömer styrelsen att nyteckningskursen och löptiden för Teckningsoptionerna, samt den maximala tilldelningen av teckningsoptioner till nyckelpersoner får anses rimliga i ljuset av praxis på marknaden och Bolagets behov av att kunna stimulera deltagarnas arbetsinsats genom erbjudande om deltagande i teckningsoptionsprogrammet.</w:t>
      </w:r>
    </w:p>
    <w:p w14:paraId="52D08703" w14:textId="77777777" w:rsidR="0025163F" w:rsidRPr="00F333C1" w:rsidRDefault="0025163F" w:rsidP="0025163F">
      <w:pPr>
        <w:spacing w:line="288" w:lineRule="auto"/>
        <w:rPr>
          <w:rFonts w:eastAsia="Times New Roman"/>
          <w:sz w:val="20"/>
          <w:lang w:eastAsia="ar-SA"/>
        </w:rPr>
      </w:pPr>
    </w:p>
    <w:p w14:paraId="24D85828" w14:textId="77777777" w:rsidR="0025163F" w:rsidRPr="00F333C1" w:rsidRDefault="0025163F" w:rsidP="0025163F">
      <w:pPr>
        <w:pStyle w:val="Liststycke"/>
        <w:numPr>
          <w:ilvl w:val="0"/>
          <w:numId w:val="4"/>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Beredning av ärendet</w:t>
      </w:r>
    </w:p>
    <w:p w14:paraId="1ABAB6BF" w14:textId="77777777" w:rsidR="0025163F" w:rsidRPr="00F333C1" w:rsidRDefault="0025163F" w:rsidP="0025163F">
      <w:pPr>
        <w:spacing w:line="288" w:lineRule="auto"/>
        <w:ind w:firstLine="360"/>
        <w:rPr>
          <w:rFonts w:eastAsia="Times New Roman"/>
          <w:sz w:val="20"/>
          <w:lang w:eastAsia="ar-SA"/>
        </w:rPr>
      </w:pPr>
      <w:r w:rsidRPr="00F333C1">
        <w:rPr>
          <w:rFonts w:eastAsia="Times New Roman"/>
          <w:sz w:val="20"/>
          <w:lang w:eastAsia="ar-SA"/>
        </w:rPr>
        <w:t>Teckningsoptionsprogrammet har arbetats fram av Bolagets styrelse med stöd av externa rådgivare.</w:t>
      </w:r>
    </w:p>
    <w:p w14:paraId="08018A6B" w14:textId="77777777" w:rsidR="0025163F" w:rsidRPr="00F333C1" w:rsidRDefault="0025163F" w:rsidP="0025163F">
      <w:pPr>
        <w:spacing w:line="288" w:lineRule="auto"/>
        <w:rPr>
          <w:rFonts w:eastAsia="Times New Roman"/>
          <w:sz w:val="20"/>
          <w:lang w:eastAsia="ar-SA"/>
        </w:rPr>
      </w:pPr>
    </w:p>
    <w:p w14:paraId="3E27D3DB" w14:textId="77777777" w:rsidR="0025163F" w:rsidRPr="00F333C1" w:rsidRDefault="0025163F" w:rsidP="0025163F">
      <w:pPr>
        <w:pStyle w:val="Liststycke"/>
        <w:numPr>
          <w:ilvl w:val="0"/>
          <w:numId w:val="4"/>
        </w:numPr>
        <w:spacing w:line="288" w:lineRule="auto"/>
        <w:rPr>
          <w:rFonts w:ascii="Times New Roman" w:eastAsia="Times New Roman" w:hAnsi="Times New Roman"/>
          <w:sz w:val="20"/>
          <w:lang w:eastAsia="ar-SA"/>
        </w:rPr>
      </w:pPr>
      <w:r w:rsidRPr="00F333C1">
        <w:rPr>
          <w:rFonts w:ascii="Times New Roman" w:eastAsia="Times New Roman" w:hAnsi="Times New Roman"/>
          <w:sz w:val="20"/>
          <w:lang w:eastAsia="ar-SA"/>
        </w:rPr>
        <w:t>Bemyndigande och beslutsregler</w:t>
      </w:r>
    </w:p>
    <w:p w14:paraId="18F7601D"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Stämman uppdrar åt styrelsen för Bolaget att verkställa beslutet enligt punkten A ovan samt att tillse att styrelsen för Dotterbolaget genomför överlåtelsen av teckningsoptioner enligt punkt B ovan.</w:t>
      </w:r>
    </w:p>
    <w:p w14:paraId="652EED0F" w14:textId="77777777" w:rsidR="0025163F" w:rsidRPr="00F333C1" w:rsidRDefault="0025163F" w:rsidP="0025163F">
      <w:pPr>
        <w:spacing w:line="288" w:lineRule="auto"/>
        <w:rPr>
          <w:rFonts w:eastAsia="Times New Roman"/>
          <w:sz w:val="20"/>
          <w:lang w:eastAsia="ar-SA"/>
        </w:rPr>
      </w:pPr>
    </w:p>
    <w:p w14:paraId="54493EF3"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 xml:space="preserve">Styrelsen eller den som styrelsen utser bemyndigas att vidta de smärre justeringar som krävs för beslutets </w:t>
      </w:r>
      <w:r w:rsidRPr="00F333C1">
        <w:rPr>
          <w:rFonts w:eastAsia="Times New Roman"/>
          <w:sz w:val="20"/>
          <w:lang w:eastAsia="ar-SA"/>
        </w:rPr>
        <w:lastRenderedPageBreak/>
        <w:t xml:space="preserve">registrering hos Bolagsverket, </w:t>
      </w:r>
      <w:proofErr w:type="spellStart"/>
      <w:r w:rsidRPr="00F333C1">
        <w:rPr>
          <w:rFonts w:eastAsia="Times New Roman"/>
          <w:sz w:val="20"/>
          <w:lang w:eastAsia="ar-SA"/>
        </w:rPr>
        <w:t>Euroclear</w:t>
      </w:r>
      <w:proofErr w:type="spellEnd"/>
      <w:r w:rsidRPr="00F333C1">
        <w:rPr>
          <w:rFonts w:eastAsia="Times New Roman"/>
          <w:sz w:val="20"/>
          <w:lang w:eastAsia="ar-SA"/>
        </w:rPr>
        <w:t xml:space="preserve"> Sweden AB eller på grund av andra formella krav.</w:t>
      </w:r>
    </w:p>
    <w:p w14:paraId="1900DCB4" w14:textId="77777777" w:rsidR="0025163F" w:rsidRPr="00F333C1" w:rsidRDefault="0025163F" w:rsidP="0025163F">
      <w:pPr>
        <w:spacing w:line="288" w:lineRule="auto"/>
        <w:rPr>
          <w:rFonts w:eastAsia="Times New Roman"/>
          <w:sz w:val="20"/>
          <w:lang w:eastAsia="ar-SA"/>
        </w:rPr>
      </w:pPr>
    </w:p>
    <w:p w14:paraId="511F927F" w14:textId="77777777" w:rsidR="0025163F" w:rsidRPr="00F333C1" w:rsidRDefault="0025163F" w:rsidP="0025163F">
      <w:pPr>
        <w:spacing w:line="288" w:lineRule="auto"/>
        <w:ind w:left="360"/>
        <w:rPr>
          <w:rFonts w:eastAsia="Times New Roman"/>
          <w:sz w:val="20"/>
          <w:lang w:eastAsia="ar-SA"/>
        </w:rPr>
      </w:pPr>
      <w:r w:rsidRPr="00F333C1">
        <w:rPr>
          <w:rFonts w:eastAsia="Times New Roman"/>
          <w:sz w:val="20"/>
          <w:lang w:eastAsia="ar-SA"/>
        </w:rPr>
        <w:t>Stämmans beslut avseende denna punkt är giltiga endast om de biträds av aktieägare med minst nio tiondelar (9/10) av såväl de avgivna rösterna som de vid stämman företrädda aktierna.</w:t>
      </w:r>
    </w:p>
    <w:p w14:paraId="32A25D3C" w14:textId="77777777" w:rsidR="00033625" w:rsidRDefault="00033625"/>
    <w:sectPr w:rsidR="00033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5BB1" w14:textId="77777777" w:rsidR="000A4669" w:rsidRDefault="000A4669" w:rsidP="000A4669">
      <w:r>
        <w:separator/>
      </w:r>
    </w:p>
  </w:endnote>
  <w:endnote w:type="continuationSeparator" w:id="0">
    <w:p w14:paraId="25ACE662" w14:textId="77777777" w:rsidR="000A4669" w:rsidRDefault="000A4669" w:rsidP="000A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B468" w14:textId="77777777" w:rsidR="000A4669" w:rsidRDefault="000A4669" w:rsidP="000A4669">
      <w:r>
        <w:separator/>
      </w:r>
    </w:p>
  </w:footnote>
  <w:footnote w:type="continuationSeparator" w:id="0">
    <w:p w14:paraId="49480C15" w14:textId="77777777" w:rsidR="000A4669" w:rsidRDefault="000A4669" w:rsidP="000A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3201"/>
    <w:multiLevelType w:val="hybridMultilevel"/>
    <w:tmpl w:val="08841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F9734D"/>
    <w:multiLevelType w:val="hybridMultilevel"/>
    <w:tmpl w:val="1BD4E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7967F3"/>
    <w:multiLevelType w:val="hybridMultilevel"/>
    <w:tmpl w:val="4260BC7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D433652"/>
    <w:multiLevelType w:val="hybridMultilevel"/>
    <w:tmpl w:val="352C25BE"/>
    <w:lvl w:ilvl="0" w:tplc="041D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6996414">
    <w:abstractNumId w:val="2"/>
  </w:num>
  <w:num w:numId="2" w16cid:durableId="1449201603">
    <w:abstractNumId w:val="3"/>
  </w:num>
  <w:num w:numId="3" w16cid:durableId="734282404">
    <w:abstractNumId w:val="0"/>
  </w:num>
  <w:num w:numId="4" w16cid:durableId="62693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3F"/>
    <w:rsid w:val="00033625"/>
    <w:rsid w:val="000A4669"/>
    <w:rsid w:val="001A014A"/>
    <w:rsid w:val="0025163F"/>
    <w:rsid w:val="0030537A"/>
    <w:rsid w:val="006313E2"/>
    <w:rsid w:val="00763291"/>
    <w:rsid w:val="00A95393"/>
    <w:rsid w:val="00CF62F6"/>
    <w:rsid w:val="00D560B5"/>
    <w:rsid w:val="0A45225B"/>
    <w:rsid w:val="609C5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E1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3F"/>
    <w:pPr>
      <w:widowControl w:val="0"/>
      <w:suppressAutoHyphens/>
      <w:spacing w:after="0" w:line="240" w:lineRule="auto"/>
    </w:pPr>
    <w:rPr>
      <w:rFonts w:ascii="Times New Roman" w:eastAsia="Lucida Sans Unicode"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163F"/>
    <w:pPr>
      <w:widowControl/>
      <w:suppressAutoHyphens w:val="0"/>
      <w:spacing w:after="200" w:line="276" w:lineRule="auto"/>
      <w:ind w:left="720"/>
      <w:contextualSpacing/>
    </w:pPr>
    <w:rPr>
      <w:rFonts w:ascii="Calibri" w:eastAsia="Calibri" w:hAnsi="Calibri"/>
      <w:sz w:val="22"/>
      <w:szCs w:val="22"/>
      <w:lang w:eastAsia="en-US"/>
    </w:rPr>
  </w:style>
  <w:style w:type="paragraph" w:styleId="Sidhuvud">
    <w:name w:val="header"/>
    <w:basedOn w:val="Normal"/>
    <w:link w:val="SidhuvudChar"/>
    <w:uiPriority w:val="99"/>
    <w:unhideWhenUsed/>
    <w:rsid w:val="000A4669"/>
    <w:pPr>
      <w:tabs>
        <w:tab w:val="center" w:pos="4536"/>
        <w:tab w:val="right" w:pos="9072"/>
      </w:tabs>
    </w:pPr>
  </w:style>
  <w:style w:type="character" w:customStyle="1" w:styleId="SidhuvudChar">
    <w:name w:val="Sidhuvud Char"/>
    <w:basedOn w:val="Standardstycketeckensnitt"/>
    <w:link w:val="Sidhuvud"/>
    <w:uiPriority w:val="99"/>
    <w:rsid w:val="000A4669"/>
    <w:rPr>
      <w:rFonts w:ascii="Times New Roman" w:eastAsia="Lucida Sans Unicode" w:hAnsi="Times New Roman" w:cs="Times New Roman"/>
      <w:sz w:val="24"/>
      <w:szCs w:val="20"/>
      <w:lang w:eastAsia="sv-SE"/>
    </w:rPr>
  </w:style>
  <w:style w:type="paragraph" w:styleId="Sidfot">
    <w:name w:val="footer"/>
    <w:basedOn w:val="Normal"/>
    <w:link w:val="SidfotChar"/>
    <w:uiPriority w:val="99"/>
    <w:unhideWhenUsed/>
    <w:rsid w:val="000A4669"/>
    <w:pPr>
      <w:tabs>
        <w:tab w:val="center" w:pos="4536"/>
        <w:tab w:val="right" w:pos="9072"/>
      </w:tabs>
    </w:pPr>
  </w:style>
  <w:style w:type="character" w:customStyle="1" w:styleId="SidfotChar">
    <w:name w:val="Sidfot Char"/>
    <w:basedOn w:val="Standardstycketeckensnitt"/>
    <w:link w:val="Sidfot"/>
    <w:uiPriority w:val="99"/>
    <w:rsid w:val="000A4669"/>
    <w:rPr>
      <w:rFonts w:ascii="Times New Roman" w:eastAsia="Lucida Sans Unicode"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6EC0F6B893F2478115CE17068994B2" ma:contentTypeVersion="8" ma:contentTypeDescription="Skapa ett nytt dokument." ma:contentTypeScope="" ma:versionID="f803a0c93fad39d5c82045f14e78d0a6">
  <xsd:schema xmlns:xsd="http://www.w3.org/2001/XMLSchema" xmlns:xs="http://www.w3.org/2001/XMLSchema" xmlns:p="http://schemas.microsoft.com/office/2006/metadata/properties" xmlns:ns2="99209123-9441-4ce3-888d-542b2c42bcb8" targetNamespace="http://schemas.microsoft.com/office/2006/metadata/properties" ma:root="true" ma:fieldsID="542387deecddd8bd4ac4ef4be25585cb" ns2:_="">
    <xsd:import namespace="99209123-9441-4ce3-888d-542b2c42b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09123-9441-4ce3-888d-542b2c42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F7BE4-1E98-4799-BB8A-D10804D3C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32CF1-FD26-4779-8DC9-72D08DD60175}">
  <ds:schemaRefs>
    <ds:schemaRef ds:uri="http://schemas.microsoft.com/sharepoint/v3/contenttype/forms"/>
  </ds:schemaRefs>
</ds:datastoreItem>
</file>

<file path=customXml/itemProps3.xml><?xml version="1.0" encoding="utf-8"?>
<ds:datastoreItem xmlns:ds="http://schemas.openxmlformats.org/officeDocument/2006/customXml" ds:itemID="{0A622F4F-4924-4F7C-94E5-9ABD4F627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09123-9441-4ce3-888d-542b2c42b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5441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2022-05-10T15:25:00Z</dcterms:created>
  <dcterms:modified xsi:type="dcterms:W3CDTF">2022-05-16T15:40:00Z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0x0101006A6EC0F6B893F2478115CE17068994B2</vt:lpwstr>
  </property>
</Properties>
</file>